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5B8E94F" w14:textId="77777777" w:rsidR="001F1CE6" w:rsidRPr="001F1CE6" w:rsidRDefault="001F1CE6" w:rsidP="00040748">
      <w:pPr>
        <w:widowControl w:val="0"/>
        <w:autoSpaceDE w:val="0"/>
        <w:autoSpaceDN w:val="0"/>
        <w:adjustRightInd w:val="0"/>
        <w:jc w:val="both"/>
        <w:rPr>
          <w:rFonts w:ascii="Helvetica" w:hAnsi="Helvetica" w:cs="Helvetica"/>
          <w:b/>
          <w:bCs/>
          <w:color w:val="1A1A1A"/>
          <w:sz w:val="40"/>
          <w:szCs w:val="40"/>
          <w:lang w:eastAsia="ja-JP"/>
        </w:rPr>
      </w:pPr>
      <w:r w:rsidRPr="001F1CE6">
        <w:rPr>
          <w:rFonts w:ascii="Helvetica" w:hAnsi="Helvetica" w:cs="Helvetica"/>
          <w:b/>
          <w:bCs/>
          <w:color w:val="1A1A1A"/>
          <w:sz w:val="40"/>
          <w:szCs w:val="40"/>
          <w:lang w:eastAsia="ja-JP"/>
        </w:rPr>
        <w:t>Conseil d’Administration d’Eramet ce matin auquel j’ai participé avec Louis Mapou nouvel administrateur de la STCPI</w:t>
      </w:r>
    </w:p>
    <w:p w14:paraId="31DB5C0F" w14:textId="77777777" w:rsidR="001F1CE6" w:rsidRPr="001F1CE6" w:rsidRDefault="001F1CE6" w:rsidP="00040748">
      <w:pPr>
        <w:widowControl w:val="0"/>
        <w:autoSpaceDE w:val="0"/>
        <w:autoSpaceDN w:val="0"/>
        <w:adjustRightInd w:val="0"/>
        <w:jc w:val="both"/>
        <w:rPr>
          <w:rFonts w:ascii="Helvetica" w:hAnsi="Helvetica" w:cs="Helvetica"/>
          <w:b/>
          <w:bCs/>
          <w:color w:val="313131"/>
          <w:sz w:val="40"/>
          <w:szCs w:val="40"/>
          <w:lang w:eastAsia="ja-JP"/>
        </w:rPr>
      </w:pPr>
      <w:r w:rsidRPr="001F1CE6">
        <w:rPr>
          <w:rFonts w:ascii="Helvetica" w:hAnsi="Helvetica" w:cs="Helvetica"/>
          <w:b/>
          <w:bCs/>
          <w:color w:val="313131"/>
          <w:sz w:val="40"/>
          <w:szCs w:val="40"/>
          <w:lang w:eastAsia="ja-JP"/>
        </w:rPr>
        <w:t>Publié le 25/07/2018</w:t>
      </w:r>
    </w:p>
    <w:p w14:paraId="4767758E" w14:textId="77777777" w:rsidR="001F1CE6" w:rsidRDefault="001F1CE6" w:rsidP="00040748">
      <w:pPr>
        <w:widowControl w:val="0"/>
        <w:numPr>
          <w:ilvl w:val="0"/>
          <w:numId w:val="1"/>
        </w:numPr>
        <w:tabs>
          <w:tab w:val="left" w:pos="220"/>
          <w:tab w:val="left" w:pos="720"/>
        </w:tabs>
        <w:autoSpaceDE w:val="0"/>
        <w:autoSpaceDN w:val="0"/>
        <w:adjustRightInd w:val="0"/>
        <w:ind w:hanging="720"/>
        <w:jc w:val="both"/>
        <w:rPr>
          <w:rFonts w:ascii="Helvetica" w:hAnsi="Helvetica" w:cs="Helvetica"/>
          <w:color w:val="1A1A1A"/>
          <w:lang w:eastAsia="ja-JP"/>
        </w:rPr>
      </w:pPr>
      <w:r>
        <w:rPr>
          <w:rFonts w:ascii="Helvetica" w:hAnsi="Helvetica" w:cs="Helvetica"/>
          <w:color w:val="FFFFFF"/>
          <w:kern w:val="1"/>
          <w:sz w:val="30"/>
          <w:szCs w:val="30"/>
          <w:lang w:eastAsia="ja-JP"/>
        </w:rPr>
        <w:tab/>
      </w:r>
      <w:r>
        <w:rPr>
          <w:rFonts w:ascii="Helvetica" w:hAnsi="Helvetica" w:cs="Helvetica"/>
          <w:color w:val="FFFFFF"/>
          <w:kern w:val="1"/>
          <w:sz w:val="30"/>
          <w:szCs w:val="30"/>
          <w:lang w:eastAsia="ja-JP"/>
        </w:rPr>
        <w:tab/>
      </w:r>
      <w:hyperlink r:id="rId6" w:history="1">
        <w:r>
          <w:rPr>
            <w:rFonts w:ascii="Helvetica" w:hAnsi="Helvetica" w:cs="Helvetica"/>
            <w:color w:val="FFFFFF"/>
            <w:sz w:val="30"/>
            <w:szCs w:val="30"/>
            <w:lang w:eastAsia="ja-JP"/>
          </w:rPr>
          <w:t xml:space="preserve">Partager sur Facebook </w:t>
        </w:r>
      </w:hyperlink>
      <w:r>
        <w:rPr>
          <w:rFonts w:ascii="Helvetica" w:hAnsi="Helvetica" w:cs="Helvetica"/>
          <w:color w:val="FFFFFF"/>
          <w:sz w:val="30"/>
          <w:szCs w:val="30"/>
          <w:lang w:eastAsia="ja-JP"/>
        </w:rPr>
        <w:t> </w:t>
      </w:r>
      <w:hyperlink r:id="rId7" w:history="1">
        <w:r>
          <w:rPr>
            <w:rFonts w:ascii="Helvetica" w:hAnsi="Helvetica" w:cs="Helvetica"/>
            <w:color w:val="FFFFFF"/>
            <w:sz w:val="30"/>
            <w:szCs w:val="30"/>
            <w:lang w:eastAsia="ja-JP"/>
          </w:rPr>
          <w:t xml:space="preserve">Partager sur Twitter </w:t>
        </w:r>
      </w:hyperlink>
      <w:r>
        <w:rPr>
          <w:rFonts w:ascii="Helvetica" w:hAnsi="Helvetica" w:cs="Helvetica"/>
          <w:color w:val="FFFFFF"/>
          <w:sz w:val="30"/>
          <w:szCs w:val="30"/>
          <w:lang w:eastAsia="ja-JP"/>
        </w:rPr>
        <w:t> </w:t>
      </w:r>
      <w:hyperlink r:id="rId8" w:history="1">
        <w:r>
          <w:rPr>
            <w:rFonts w:ascii="Helvetica" w:hAnsi="Helvetica" w:cs="Helvetica"/>
            <w:color w:val="FFFFFF"/>
            <w:lang w:eastAsia="ja-JP"/>
          </w:rPr>
          <w:t xml:space="preserve">Partager sur Google+ </w:t>
        </w:r>
      </w:hyperlink>
    </w:p>
    <w:p w14:paraId="671594B6" w14:textId="77777777" w:rsidR="001F1CE6" w:rsidRDefault="001F1CE6" w:rsidP="00040748">
      <w:pPr>
        <w:widowControl w:val="0"/>
        <w:autoSpaceDE w:val="0"/>
        <w:autoSpaceDN w:val="0"/>
        <w:adjustRightInd w:val="0"/>
        <w:jc w:val="both"/>
        <w:rPr>
          <w:rFonts w:ascii="Verdana" w:hAnsi="Verdana" w:cs="Verdana"/>
          <w:color w:val="1A1A1A"/>
          <w:sz w:val="26"/>
          <w:szCs w:val="26"/>
          <w:lang w:eastAsia="ja-JP"/>
        </w:rPr>
      </w:pPr>
    </w:p>
    <w:p w14:paraId="41F6F8F0" w14:textId="77777777" w:rsidR="001F1CE6" w:rsidRDefault="001F1CE6"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color w:val="1A1A1A"/>
          <w:sz w:val="30"/>
          <w:szCs w:val="30"/>
          <w:lang w:eastAsia="ja-JP"/>
        </w:rPr>
        <w:t xml:space="preserve">(25 juillet 2018) </w:t>
      </w:r>
      <w:hyperlink r:id="rId9" w:history="1">
        <w:r>
          <w:rPr>
            <w:rFonts w:ascii="Verdana" w:hAnsi="Verdana" w:cs="Verdana"/>
            <w:color w:val="D11925"/>
            <w:sz w:val="30"/>
            <w:szCs w:val="30"/>
            <w:lang w:eastAsia="ja-JP"/>
          </w:rPr>
          <w:t>Philippe GOMES :</w:t>
        </w:r>
      </w:hyperlink>
    </w:p>
    <w:p w14:paraId="3AB8DB77" w14:textId="77777777" w:rsidR="001F1CE6" w:rsidRDefault="001F1CE6" w:rsidP="00040748">
      <w:pPr>
        <w:widowControl w:val="0"/>
        <w:autoSpaceDE w:val="0"/>
        <w:autoSpaceDN w:val="0"/>
        <w:adjustRightInd w:val="0"/>
        <w:jc w:val="both"/>
        <w:rPr>
          <w:rFonts w:ascii="Verdana" w:hAnsi="Verdana" w:cs="Verdana"/>
          <w:color w:val="1A1A1A"/>
          <w:sz w:val="30"/>
          <w:szCs w:val="30"/>
          <w:lang w:eastAsia="ja-JP"/>
        </w:rPr>
      </w:pPr>
    </w:p>
    <w:p w14:paraId="60C83A9F"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(25 juillet 2018) Philippe GOMES : « Les résultats de la branche nickel se redressent grâce à la remontée des cours au LME… Mais le « cash cost » de la SLN s’élève à 5 $ la livre sur le 1er semestre 2018 alors que l’objectif sur l’année 2018 était de 4,5 $ (et 4 $ fin 2020…) et que son cash cost du 2ème semestre 2017 était de 4,50 $….</w:t>
      </w:r>
    </w:p>
    <w:p w14:paraId="7C7DD028"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p>
    <w:p w14:paraId="01A78C0A"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Certes les conditions météo ont été très défavorables. Pour autant les efforts engagés en matière d’amélioration de la productivité doivent être poursuivis. Il en va de la survie à long terme de cet outil industriel qui fait vivre de manière directe, indirecte et induite huit mille familles calédoniennes ».</w:t>
      </w:r>
    </w:p>
    <w:p w14:paraId="13B418B4"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p>
    <w:p w14:paraId="7F24664A" w14:textId="77777777" w:rsidR="009F6C29"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Source : ermat.com</w:t>
      </w:r>
    </w:p>
    <w:p w14:paraId="3275135E" w14:textId="77777777" w:rsidR="001F1CE6" w:rsidRDefault="001F1CE6" w:rsidP="00040748">
      <w:pPr>
        <w:widowControl w:val="0"/>
        <w:pBdr>
          <w:bottom w:val="single" w:sz="6" w:space="1" w:color="auto"/>
        </w:pBdr>
        <w:autoSpaceDE w:val="0"/>
        <w:autoSpaceDN w:val="0"/>
        <w:adjustRightInd w:val="0"/>
        <w:jc w:val="both"/>
        <w:rPr>
          <w:rFonts w:ascii="Verdana" w:hAnsi="Verdana" w:cs="Verdana"/>
          <w:color w:val="1A1A1A"/>
          <w:sz w:val="30"/>
          <w:szCs w:val="30"/>
          <w:lang w:eastAsia="ja-JP"/>
        </w:rPr>
      </w:pPr>
    </w:p>
    <w:p w14:paraId="5074BD5C" w14:textId="77777777" w:rsidR="001F1CE6" w:rsidRDefault="001F1CE6" w:rsidP="00040748">
      <w:pPr>
        <w:widowControl w:val="0"/>
        <w:autoSpaceDE w:val="0"/>
        <w:autoSpaceDN w:val="0"/>
        <w:adjustRightInd w:val="0"/>
        <w:jc w:val="both"/>
        <w:rPr>
          <w:rFonts w:ascii="Verdana" w:hAnsi="Verdana" w:cs="Verdana"/>
          <w:color w:val="1A1A1A"/>
          <w:sz w:val="30"/>
          <w:szCs w:val="30"/>
          <w:lang w:eastAsia="ja-JP"/>
        </w:rPr>
      </w:pPr>
    </w:p>
    <w:p w14:paraId="299165D0"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Eramet chute : des analystes évoquent la Nouvelle-Calédonie et le nickel</w:t>
      </w:r>
    </w:p>
    <w:p w14:paraId="49FBABE9"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Mardi soir, la presse économique avait salué les résultats du groupe minier et métallurgique français. Mercredi matin, Eramet a subi le tir de barrage d’analystes internationaux concernant le redressement de la SLN, sa filiale calédonienne.</w:t>
      </w:r>
    </w:p>
    <w:p w14:paraId="56FEF132"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 xml:space="preserve"> </w:t>
      </w:r>
    </w:p>
    <w:p w14:paraId="0D77E60E"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Usine de nickel de Doniambo (SLN-ERAMET) en Nouvelle-Calédonie © Alain Jeannin</w:t>
      </w:r>
    </w:p>
    <w:p w14:paraId="4BC16739"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 ALAIN JEANNIN Usine de nickel de Doniambo (SLN-ERAMET) en Nouvelle-Calédonie</w:t>
      </w:r>
    </w:p>
    <w:p w14:paraId="55A1E221"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Par Alain Jeannin</w:t>
      </w:r>
    </w:p>
    <w:p w14:paraId="3E6CDF75"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Publié le 25/07/2018 à 17:27</w:t>
      </w:r>
    </w:p>
    <w:p w14:paraId="71C572AD"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 xml:space="preserve">Le coût de production "cash" de la Société Le Nickel (SLN), la filiale calédonienne d'Eramet, s'est établi, hors endettement, à 5,04 dollars la livre à fin juin, une mauvaise performance liée à la </w:t>
      </w:r>
      <w:r w:rsidRPr="001F1CE6">
        <w:rPr>
          <w:rFonts w:ascii="Verdana" w:hAnsi="Verdana" w:cs="Verdana"/>
          <w:color w:val="1A1A1A"/>
          <w:sz w:val="30"/>
          <w:szCs w:val="30"/>
          <w:lang w:eastAsia="ja-JP"/>
        </w:rPr>
        <w:lastRenderedPageBreak/>
        <w:t>météo, à un contexte syndical retardant la hausse des temps de travail sur les mines, mais aussi à la difficulté du groupe à renégocier ses coûts en matière d'énergie et à obtenir des autorisations d’exportation de minerais. Le titre a chuté brutalement à Paris, dans un climat de tensions commerciales qui masque les bonnes performances du groupe métallurgique et minier français.</w:t>
      </w:r>
    </w:p>
    <w:p w14:paraId="3ECD5B9F"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p>
    <w:p w14:paraId="6740B781"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 xml:space="preserve">Exercice sensible </w:t>
      </w:r>
    </w:p>
    <w:p w14:paraId="38CCBA69"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"L'action Eramet est sous une forte pression, apparemment pénalisée par des avis négatifs de brokers en ce qui concerne les pressions sur les alliages de manganèse et sur le coût du nickel (calédonien NDLR) ainsi que le risque lié au commerce mondial", commentent les analystes de Société générale dans une note.</w:t>
      </w:r>
    </w:p>
    <w:p w14:paraId="2118333A"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La scène se passe au sous-sol d’un centre de conférence mercredi matin à Paris. Une salle placée dans la pénombre, éclairée par le tableau de présentation des résultats du groupe Eramet. Christel Bories, sa présidente, vient de terminer son exposé présentant la belle croissance de ses bénéfices semestriels. L’exercice est sensible, essentiel, il paraît réussi.</w:t>
      </w:r>
    </w:p>
    <w:p w14:paraId="3871ECD2"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p>
    <w:p w14:paraId="05970956"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Des questions sans concession</w:t>
      </w:r>
    </w:p>
    <w:p w14:paraId="0E4DE1F1"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Arrivent les questions, posées dans la salle ou depuis la City de Londres. Et là, c’est la douche écossaise ou plutôt londonienne. La rafale de questions cible la situation de la SLN, la filiale du nickel en Nouvelle-Calédonie. Des questions sans concession posées par des analystes internationaux et entre autres celui de Bank of America-Merril Lynch, la première banque américaine du secteur des matières premières :</w:t>
      </w:r>
    </w:p>
    <w:p w14:paraId="5CE188C8"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 xml:space="preserve"> </w:t>
      </w:r>
    </w:p>
    <w:p w14:paraId="53493D44"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 xml:space="preserve">Pourquoi ne pouvez-vous pas exporter plus de minerais calédoniens ? Craignez-vous des tensions dans les approvisionnements au moment du référendum ? Pourquoi payez-vous votre électricité si chère ? Pourquoi vos syndicats bloquent-ils les réformes sur la flexibilité ? Pouvez-vous réellement atteindre vos objectifs de réduction de coûts en Nouvelle-Calédonie ou est-ce un pari impossible ? </w:t>
      </w:r>
    </w:p>
    <w:p w14:paraId="3BC04706"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p>
    <w:p w14:paraId="5A718B8B"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Ces analystes de la finance des matières premières ont pointé du doigt leur vision du groupe en Nouvelle-Calédonie, que l’un d’eux décrit peu après la présentation comme « contraint de faire face à une concurrence mondiale avec une main attachée dans le dos ».</w:t>
      </w:r>
    </w:p>
    <w:p w14:paraId="51032F95"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p>
    <w:p w14:paraId="02454A0A"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Surtout rester calme et répondre point par point aux questions posées, c’est le difficile exercice auquel se livre ensuite Christel Bories, la présidente du groupe Eramet :</w:t>
      </w:r>
    </w:p>
    <w:p w14:paraId="37360C1E"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 xml:space="preserve"> </w:t>
      </w:r>
    </w:p>
    <w:p w14:paraId="2F7BB45E"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La Nouvelle-Calédonie est calme et nous espérons tous que le référendum se déroule dans les meilleures conditions. Nous pensons que sur le moyen et le long terme nous avons la capacité d’améliorer significativement la situation, et notamment si nous pouvons exporter plus de minerais. Nous avons des étapes de réductions de coûts et nous avançons, nous simplifions l’organisation de la SLN. Si nous obtenons des autorisations d’exportation, la montée en puissance du domaine minier peut aller relativement vite. Sur la question du coût de l’énergie, nous négocions afin d’être performant, mais il faut tenir compte des contraintes de notre fournisseur calédonien d’électricité (Enercal NDLR).</w:t>
      </w:r>
    </w:p>
    <w:p w14:paraId="37C33FFC"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 xml:space="preserve">La SLN avance </w:t>
      </w:r>
    </w:p>
    <w:p w14:paraId="587A651C"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Les ventes de la branche nickel (20 % de l’activité du groupe) ont progressé de 17 % (365 millions d’euros) grâce à l’envolée des cours du nickel (+42 %). Malgré ces bons résultats et l’amélioration notable des résultats de l’usine de Doniambo, les chiffres de la filiale calédonienne apparaissent fragiles et insuffisants aux investisseurs, notamment pour l’activité minière.</w:t>
      </w:r>
    </w:p>
    <w:p w14:paraId="6A85D6B6" w14:textId="77777777" w:rsidR="001F1CE6" w:rsidRPr="001F1CE6" w:rsidRDefault="001F1CE6" w:rsidP="00040748">
      <w:pPr>
        <w:widowControl w:val="0"/>
        <w:autoSpaceDE w:val="0"/>
        <w:autoSpaceDN w:val="0"/>
        <w:adjustRightInd w:val="0"/>
        <w:jc w:val="both"/>
        <w:rPr>
          <w:rFonts w:ascii="Verdana" w:hAnsi="Verdana" w:cs="Verdana"/>
          <w:color w:val="1A1A1A"/>
          <w:sz w:val="30"/>
          <w:szCs w:val="30"/>
          <w:lang w:eastAsia="ja-JP"/>
        </w:rPr>
      </w:pPr>
    </w:p>
    <w:p w14:paraId="2B8AE168" w14:textId="77777777" w:rsidR="001F1CE6" w:rsidRDefault="001F1CE6" w:rsidP="00040748">
      <w:pPr>
        <w:widowControl w:val="0"/>
        <w:autoSpaceDE w:val="0"/>
        <w:autoSpaceDN w:val="0"/>
        <w:adjustRightInd w:val="0"/>
        <w:jc w:val="both"/>
        <w:rPr>
          <w:rFonts w:ascii="Verdana" w:hAnsi="Verdana" w:cs="Verdana"/>
          <w:color w:val="1A1A1A"/>
          <w:sz w:val="30"/>
          <w:szCs w:val="30"/>
          <w:lang w:eastAsia="ja-JP"/>
        </w:rPr>
      </w:pPr>
      <w:r w:rsidRPr="001F1CE6">
        <w:rPr>
          <w:rFonts w:ascii="Verdana" w:hAnsi="Verdana" w:cs="Verdana"/>
          <w:color w:val="1A1A1A"/>
          <w:sz w:val="30"/>
          <w:szCs w:val="30"/>
          <w:lang w:eastAsia="ja-JP"/>
        </w:rPr>
        <w:t>Mercredi, l’action Eramet dégringolait de près de 20 %, signant la moins bonne performance de l’indice SBF120. En soirée, le comité de direction d’Eramet partait pour Londres à la rencontre des principaux acteurs du marché mondial des métaux. Au LME, le nickel regagnait du terrain autour de 13.690 dollars la tonne (6,20 dollars par livre), un prix dont se satisferait presque...la SLN. Pour l'opérateur historique du nickel calédonien, la bataille pour la compétitivité se poursuit.</w:t>
      </w:r>
    </w:p>
    <w:p w14:paraId="09F60BBB" w14:textId="77777777" w:rsidR="009F6C29" w:rsidRDefault="009F6C29" w:rsidP="00040748">
      <w:pPr>
        <w:widowControl w:val="0"/>
        <w:pBdr>
          <w:bottom w:val="single" w:sz="6" w:space="1" w:color="auto"/>
        </w:pBdr>
        <w:autoSpaceDE w:val="0"/>
        <w:autoSpaceDN w:val="0"/>
        <w:adjustRightInd w:val="0"/>
        <w:jc w:val="both"/>
        <w:rPr>
          <w:rFonts w:ascii="Verdana" w:hAnsi="Verdana" w:cs="Verdana"/>
          <w:color w:val="1A1A1A"/>
          <w:sz w:val="30"/>
          <w:szCs w:val="30"/>
          <w:lang w:eastAsia="ja-JP"/>
        </w:rPr>
      </w:pPr>
    </w:p>
    <w:p w14:paraId="3F2CBA35" w14:textId="77777777" w:rsidR="009F6C29" w:rsidRDefault="009F6C29" w:rsidP="00040748">
      <w:pPr>
        <w:widowControl w:val="0"/>
        <w:autoSpaceDE w:val="0"/>
        <w:autoSpaceDN w:val="0"/>
        <w:adjustRightInd w:val="0"/>
        <w:jc w:val="both"/>
        <w:rPr>
          <w:rFonts w:ascii="Verdana" w:hAnsi="Verdana" w:cs="Verdana"/>
          <w:color w:val="1A1A1A"/>
          <w:sz w:val="30"/>
          <w:szCs w:val="30"/>
          <w:lang w:eastAsia="ja-JP"/>
        </w:rPr>
      </w:pPr>
    </w:p>
    <w:p w14:paraId="31F062B7" w14:textId="77777777" w:rsidR="009F6C29" w:rsidRPr="009F6C29" w:rsidRDefault="009F6C29" w:rsidP="00040748">
      <w:pPr>
        <w:widowControl w:val="0"/>
        <w:autoSpaceDE w:val="0"/>
        <w:autoSpaceDN w:val="0"/>
        <w:adjustRightInd w:val="0"/>
        <w:jc w:val="both"/>
        <w:rPr>
          <w:rFonts w:ascii="Verdana" w:hAnsi="Verdana" w:cs="Verdana"/>
          <w:color w:val="1A1A1A"/>
          <w:sz w:val="30"/>
          <w:szCs w:val="30"/>
          <w:lang w:eastAsia="ja-JP"/>
        </w:rPr>
      </w:pPr>
      <w:r w:rsidRPr="009F6C29">
        <w:rPr>
          <w:rFonts w:ascii="Verdana" w:hAnsi="Verdana" w:cs="Verdana"/>
          <w:color w:val="1A1A1A"/>
          <w:sz w:val="30"/>
          <w:szCs w:val="30"/>
          <w:lang w:eastAsia="ja-JP"/>
        </w:rPr>
        <w:t>/NOUVELLE CALÉDONIE</w:t>
      </w:r>
    </w:p>
    <w:p w14:paraId="6E07C9B0" w14:textId="77777777" w:rsidR="009F6C29" w:rsidRPr="009F6C29" w:rsidRDefault="009F6C29" w:rsidP="00040748">
      <w:pPr>
        <w:widowControl w:val="0"/>
        <w:autoSpaceDE w:val="0"/>
        <w:autoSpaceDN w:val="0"/>
        <w:adjustRightInd w:val="0"/>
        <w:jc w:val="both"/>
        <w:rPr>
          <w:rFonts w:ascii="Verdana" w:hAnsi="Verdana" w:cs="Verdana"/>
          <w:color w:val="1A1A1A"/>
          <w:sz w:val="30"/>
          <w:szCs w:val="30"/>
          <w:lang w:eastAsia="ja-JP"/>
        </w:rPr>
      </w:pPr>
      <w:r w:rsidRPr="009F6C29">
        <w:rPr>
          <w:rFonts w:ascii="Verdana" w:hAnsi="Verdana" w:cs="Verdana"/>
          <w:color w:val="1A1A1A"/>
          <w:sz w:val="30"/>
          <w:szCs w:val="30"/>
          <w:lang w:eastAsia="ja-JP"/>
        </w:rPr>
        <w:t>Léger rebond du nickel dans un marché toujours sous tension</w:t>
      </w:r>
    </w:p>
    <w:p w14:paraId="3BD16285" w14:textId="77777777" w:rsidR="009F6C29" w:rsidRPr="009F6C29" w:rsidRDefault="009F6C29" w:rsidP="00040748">
      <w:pPr>
        <w:widowControl w:val="0"/>
        <w:autoSpaceDE w:val="0"/>
        <w:autoSpaceDN w:val="0"/>
        <w:adjustRightInd w:val="0"/>
        <w:jc w:val="both"/>
        <w:rPr>
          <w:rFonts w:ascii="Verdana" w:hAnsi="Verdana" w:cs="Verdana"/>
          <w:color w:val="1A1A1A"/>
          <w:sz w:val="30"/>
          <w:szCs w:val="30"/>
          <w:lang w:eastAsia="ja-JP"/>
        </w:rPr>
      </w:pPr>
      <w:r w:rsidRPr="009F6C29">
        <w:rPr>
          <w:rFonts w:ascii="Verdana" w:hAnsi="Verdana" w:cs="Verdana"/>
          <w:color w:val="1A1A1A"/>
          <w:sz w:val="30"/>
          <w:szCs w:val="30"/>
          <w:lang w:eastAsia="ja-JP"/>
        </w:rPr>
        <w:t xml:space="preserve">Les métaux de base rebondissent ce vendredi avec le nickel, alors que le dollar recule après avoir atteint des sommets jamais vus depuis juillet 2017. Le yuan chinois se stabilise. </w:t>
      </w:r>
    </w:p>
    <w:p w14:paraId="6ABD4C46" w14:textId="77777777" w:rsidR="009F6C29" w:rsidRPr="009F6C29" w:rsidRDefault="009F6C29" w:rsidP="00040748">
      <w:pPr>
        <w:widowControl w:val="0"/>
        <w:autoSpaceDE w:val="0"/>
        <w:autoSpaceDN w:val="0"/>
        <w:adjustRightInd w:val="0"/>
        <w:jc w:val="both"/>
        <w:rPr>
          <w:rFonts w:ascii="Verdana" w:hAnsi="Verdana" w:cs="Verdana"/>
          <w:color w:val="1A1A1A"/>
          <w:sz w:val="30"/>
          <w:szCs w:val="30"/>
          <w:lang w:eastAsia="ja-JP"/>
        </w:rPr>
      </w:pPr>
      <w:r w:rsidRPr="009F6C29">
        <w:rPr>
          <w:rFonts w:ascii="Verdana" w:hAnsi="Verdana" w:cs="Verdana"/>
          <w:color w:val="1A1A1A"/>
          <w:sz w:val="30"/>
          <w:szCs w:val="30"/>
          <w:lang w:eastAsia="ja-JP"/>
        </w:rPr>
        <w:t>Industrie du nickel en Finlande. Combinat Nornickel et Boliden à Harjavalta © Alain Jeannin</w:t>
      </w:r>
    </w:p>
    <w:p w14:paraId="7B240FF7" w14:textId="77777777" w:rsidR="009F6C29" w:rsidRPr="009F6C29" w:rsidRDefault="009F6C29" w:rsidP="00040748">
      <w:pPr>
        <w:widowControl w:val="0"/>
        <w:autoSpaceDE w:val="0"/>
        <w:autoSpaceDN w:val="0"/>
        <w:adjustRightInd w:val="0"/>
        <w:jc w:val="both"/>
        <w:rPr>
          <w:rFonts w:ascii="Verdana" w:hAnsi="Verdana" w:cs="Verdana"/>
          <w:color w:val="1A1A1A"/>
          <w:sz w:val="30"/>
          <w:szCs w:val="30"/>
          <w:lang w:eastAsia="ja-JP"/>
        </w:rPr>
      </w:pPr>
      <w:r w:rsidRPr="009F6C29">
        <w:rPr>
          <w:rFonts w:ascii="Verdana" w:hAnsi="Verdana" w:cs="Verdana"/>
          <w:color w:val="1A1A1A"/>
          <w:sz w:val="30"/>
          <w:szCs w:val="30"/>
          <w:lang w:eastAsia="ja-JP"/>
        </w:rPr>
        <w:t>© ALAIN JEANNIN Industrie du nickel en Finlande. Combinat Nornickel et Boliden à Harjavalta</w:t>
      </w:r>
    </w:p>
    <w:p w14:paraId="31855E35" w14:textId="77777777" w:rsidR="009F6C29" w:rsidRPr="009F6C29" w:rsidRDefault="009F6C29" w:rsidP="00040748">
      <w:pPr>
        <w:widowControl w:val="0"/>
        <w:autoSpaceDE w:val="0"/>
        <w:autoSpaceDN w:val="0"/>
        <w:adjustRightInd w:val="0"/>
        <w:jc w:val="both"/>
        <w:rPr>
          <w:rFonts w:ascii="Verdana" w:hAnsi="Verdana" w:cs="Verdana"/>
          <w:color w:val="1A1A1A"/>
          <w:sz w:val="30"/>
          <w:szCs w:val="30"/>
          <w:lang w:eastAsia="ja-JP"/>
        </w:rPr>
      </w:pPr>
      <w:r w:rsidRPr="009F6C29">
        <w:rPr>
          <w:rFonts w:ascii="Verdana" w:hAnsi="Verdana" w:cs="Verdana"/>
          <w:color w:val="1A1A1A"/>
          <w:sz w:val="30"/>
          <w:szCs w:val="30"/>
          <w:lang w:eastAsia="ja-JP"/>
        </w:rPr>
        <w:t>Par Alain Jeannin</w:t>
      </w:r>
    </w:p>
    <w:p w14:paraId="647BEB3F" w14:textId="77777777" w:rsidR="009F6C29" w:rsidRPr="009F6C29" w:rsidRDefault="009F6C29" w:rsidP="00040748">
      <w:pPr>
        <w:widowControl w:val="0"/>
        <w:autoSpaceDE w:val="0"/>
        <w:autoSpaceDN w:val="0"/>
        <w:adjustRightInd w:val="0"/>
        <w:jc w:val="both"/>
        <w:rPr>
          <w:rFonts w:ascii="Verdana" w:hAnsi="Verdana" w:cs="Verdana"/>
          <w:color w:val="1A1A1A"/>
          <w:sz w:val="30"/>
          <w:szCs w:val="30"/>
          <w:lang w:eastAsia="ja-JP"/>
        </w:rPr>
      </w:pPr>
      <w:r w:rsidRPr="009F6C29">
        <w:rPr>
          <w:rFonts w:ascii="Verdana" w:hAnsi="Verdana" w:cs="Verdana"/>
          <w:color w:val="1A1A1A"/>
          <w:sz w:val="30"/>
          <w:szCs w:val="30"/>
          <w:lang w:eastAsia="ja-JP"/>
        </w:rPr>
        <w:t>Publié le 21/07/2018 à 02:34, mis à jour le 21/07/2018 à 03:07</w:t>
      </w:r>
    </w:p>
    <w:p w14:paraId="00FCC17B" w14:textId="77777777" w:rsidR="009F6C29" w:rsidRPr="009F6C29" w:rsidRDefault="009F6C29" w:rsidP="00040748">
      <w:pPr>
        <w:widowControl w:val="0"/>
        <w:autoSpaceDE w:val="0"/>
        <w:autoSpaceDN w:val="0"/>
        <w:adjustRightInd w:val="0"/>
        <w:jc w:val="both"/>
        <w:rPr>
          <w:rFonts w:ascii="Verdana" w:hAnsi="Verdana" w:cs="Verdana"/>
          <w:color w:val="1A1A1A"/>
          <w:sz w:val="30"/>
          <w:szCs w:val="30"/>
          <w:lang w:eastAsia="ja-JP"/>
        </w:rPr>
      </w:pPr>
      <w:r w:rsidRPr="009F6C29">
        <w:rPr>
          <w:rFonts w:ascii="Verdana" w:hAnsi="Verdana" w:cs="Verdana"/>
          <w:color w:val="1A1A1A"/>
          <w:sz w:val="30"/>
          <w:szCs w:val="30"/>
          <w:lang w:eastAsia="ja-JP"/>
        </w:rPr>
        <w:t>Les indicateurs mondiaux du nickel sont passés de « positif » à « neutre ». Les carnets de commandes des industriels ont baissé cette semaine souligne le négociant londonien Marex Spectron qui sert d’intermédiaire entre les producteurs de nickel et les consommateurs de l’industrie de l’inox.</w:t>
      </w:r>
    </w:p>
    <w:p w14:paraId="7B974D3E" w14:textId="77777777" w:rsidR="009F6C29" w:rsidRPr="009F6C29" w:rsidRDefault="009F6C29" w:rsidP="00040748">
      <w:pPr>
        <w:widowControl w:val="0"/>
        <w:autoSpaceDE w:val="0"/>
        <w:autoSpaceDN w:val="0"/>
        <w:adjustRightInd w:val="0"/>
        <w:jc w:val="both"/>
        <w:rPr>
          <w:rFonts w:ascii="Verdana" w:hAnsi="Verdana" w:cs="Verdana"/>
          <w:color w:val="1A1A1A"/>
          <w:sz w:val="30"/>
          <w:szCs w:val="30"/>
          <w:lang w:eastAsia="ja-JP"/>
        </w:rPr>
      </w:pPr>
    </w:p>
    <w:p w14:paraId="767B4140" w14:textId="77777777" w:rsidR="009F6C29" w:rsidRPr="009F6C29" w:rsidRDefault="009F6C29" w:rsidP="00040748">
      <w:pPr>
        <w:widowControl w:val="0"/>
        <w:autoSpaceDE w:val="0"/>
        <w:autoSpaceDN w:val="0"/>
        <w:adjustRightInd w:val="0"/>
        <w:jc w:val="both"/>
        <w:rPr>
          <w:rFonts w:ascii="Verdana" w:hAnsi="Verdana" w:cs="Verdana"/>
          <w:color w:val="1A1A1A"/>
          <w:sz w:val="30"/>
          <w:szCs w:val="30"/>
          <w:lang w:eastAsia="ja-JP"/>
        </w:rPr>
      </w:pPr>
      <w:r w:rsidRPr="009F6C29">
        <w:rPr>
          <w:rFonts w:ascii="Verdana" w:hAnsi="Verdana" w:cs="Verdana"/>
          <w:color w:val="1A1A1A"/>
          <w:sz w:val="30"/>
          <w:szCs w:val="30"/>
          <w:lang w:eastAsia="ja-JP"/>
        </w:rPr>
        <w:t>À la bourse des métaux de Londres, le nickel a été le plus malmené cette semaine (-3,24 %) juste après le plomb, mais il est le seul métal du LME à être encore en hausse depuis le début de l’année (+6,82 %). La journée sombre de jeudi a vu les cours atteindre leur plus bas niveau de la semaine en raison des craintes d’une guerre commerciale renforcée. « Les marchés ont craint une escalade de la guerre commerciale ce qui pourrait peser sur la croissance des deux plus grandes économies mondiales et donc sur la demande en métaux de base » ont commenté les analystes de Commerzbank.</w:t>
      </w:r>
    </w:p>
    <w:p w14:paraId="7183380C" w14:textId="77777777" w:rsidR="009F6C29" w:rsidRPr="009F6C29" w:rsidRDefault="009F6C29" w:rsidP="00040748">
      <w:pPr>
        <w:widowControl w:val="0"/>
        <w:autoSpaceDE w:val="0"/>
        <w:autoSpaceDN w:val="0"/>
        <w:adjustRightInd w:val="0"/>
        <w:jc w:val="both"/>
        <w:rPr>
          <w:rFonts w:ascii="Verdana" w:hAnsi="Verdana" w:cs="Verdana"/>
          <w:color w:val="1A1A1A"/>
          <w:sz w:val="30"/>
          <w:szCs w:val="30"/>
          <w:lang w:eastAsia="ja-JP"/>
        </w:rPr>
      </w:pPr>
    </w:p>
    <w:p w14:paraId="520A11AE" w14:textId="77777777" w:rsidR="009F6C29" w:rsidRPr="009F6C29" w:rsidRDefault="009F6C29" w:rsidP="00040748">
      <w:pPr>
        <w:widowControl w:val="0"/>
        <w:autoSpaceDE w:val="0"/>
        <w:autoSpaceDN w:val="0"/>
        <w:adjustRightInd w:val="0"/>
        <w:jc w:val="both"/>
        <w:rPr>
          <w:rFonts w:ascii="Verdana" w:hAnsi="Verdana" w:cs="Verdana"/>
          <w:color w:val="1A1A1A"/>
          <w:sz w:val="30"/>
          <w:szCs w:val="30"/>
          <w:lang w:eastAsia="ja-JP"/>
        </w:rPr>
      </w:pPr>
      <w:r w:rsidRPr="009F6C29">
        <w:rPr>
          <w:rFonts w:ascii="Verdana" w:hAnsi="Verdana" w:cs="Verdana"/>
          <w:color w:val="1A1A1A"/>
          <w:sz w:val="30"/>
          <w:szCs w:val="30"/>
          <w:lang w:eastAsia="ja-JP"/>
        </w:rPr>
        <w:t>Pourtant, les prix et notamment ceux du nickel, se sont légèrement repris vendredi malgré les menaces de taxes punitives sur l’intégralité des importations chinoises aux Etats-Unis.</w:t>
      </w:r>
    </w:p>
    <w:p w14:paraId="67551AA6" w14:textId="77777777" w:rsidR="009F6C29" w:rsidRPr="009F6C29" w:rsidRDefault="009F6C29" w:rsidP="00040748">
      <w:pPr>
        <w:widowControl w:val="0"/>
        <w:autoSpaceDE w:val="0"/>
        <w:autoSpaceDN w:val="0"/>
        <w:adjustRightInd w:val="0"/>
        <w:jc w:val="both"/>
        <w:rPr>
          <w:rFonts w:ascii="Verdana" w:hAnsi="Verdana" w:cs="Verdana"/>
          <w:color w:val="1A1A1A"/>
          <w:sz w:val="30"/>
          <w:szCs w:val="30"/>
          <w:lang w:eastAsia="ja-JP"/>
        </w:rPr>
      </w:pPr>
      <w:r w:rsidRPr="009F6C29">
        <w:rPr>
          <w:rFonts w:ascii="Verdana" w:hAnsi="Verdana" w:cs="Verdana"/>
          <w:color w:val="1A1A1A"/>
          <w:sz w:val="30"/>
          <w:szCs w:val="30"/>
          <w:lang w:eastAsia="ja-JP"/>
        </w:rPr>
        <w:t>« Les métaux ont rebondi, car le dollar reculait et que la monnaie chinoise se stabilisait […] les marchés ont donc réalisé des achats à bon compte » a par ailleurs souligné Alastair Munro, analyste chez Marex Spectron.</w:t>
      </w:r>
    </w:p>
    <w:p w14:paraId="46EC355C" w14:textId="77777777" w:rsidR="009F6C29" w:rsidRPr="009F6C29" w:rsidRDefault="009F6C29" w:rsidP="00040748">
      <w:pPr>
        <w:widowControl w:val="0"/>
        <w:autoSpaceDE w:val="0"/>
        <w:autoSpaceDN w:val="0"/>
        <w:adjustRightInd w:val="0"/>
        <w:jc w:val="both"/>
        <w:rPr>
          <w:rFonts w:ascii="Verdana" w:hAnsi="Verdana" w:cs="Verdana"/>
          <w:color w:val="1A1A1A"/>
          <w:sz w:val="30"/>
          <w:szCs w:val="30"/>
          <w:lang w:eastAsia="ja-JP"/>
        </w:rPr>
      </w:pPr>
    </w:p>
    <w:p w14:paraId="6EC7E934" w14:textId="77777777" w:rsidR="009F6C29" w:rsidRPr="009F6C29" w:rsidRDefault="009F6C29" w:rsidP="00040748">
      <w:pPr>
        <w:widowControl w:val="0"/>
        <w:autoSpaceDE w:val="0"/>
        <w:autoSpaceDN w:val="0"/>
        <w:adjustRightInd w:val="0"/>
        <w:jc w:val="both"/>
        <w:rPr>
          <w:rFonts w:ascii="Verdana" w:hAnsi="Verdana" w:cs="Verdana"/>
          <w:color w:val="1A1A1A"/>
          <w:sz w:val="30"/>
          <w:szCs w:val="30"/>
          <w:lang w:eastAsia="ja-JP"/>
        </w:rPr>
      </w:pPr>
      <w:r w:rsidRPr="009F6C29">
        <w:rPr>
          <w:rFonts w:ascii="Verdana" w:hAnsi="Verdana" w:cs="Verdana"/>
          <w:color w:val="1A1A1A"/>
          <w:sz w:val="30"/>
          <w:szCs w:val="30"/>
          <w:lang w:eastAsia="ja-JP"/>
        </w:rPr>
        <w:t>Les tensions commerciales n’empêchent pas de parier sur une reprise des cours à moyen terme, car « la demande reste forte et les stocks de nickel continuent à baisser » constate un dirigeant de la société métallurgique grecque Larco-Nickel. Même les analystes de Capital Economics, rapporte l’AFP, estiment désormais que « les prix vont se stabiliser, voire augmenter d’ici à la fin de l’année ».</w:t>
      </w:r>
    </w:p>
    <w:p w14:paraId="064A677B" w14:textId="77777777" w:rsidR="009F6C29" w:rsidRPr="009F6C29" w:rsidRDefault="009F6C29" w:rsidP="00040748">
      <w:pPr>
        <w:widowControl w:val="0"/>
        <w:autoSpaceDE w:val="0"/>
        <w:autoSpaceDN w:val="0"/>
        <w:adjustRightInd w:val="0"/>
        <w:jc w:val="both"/>
        <w:rPr>
          <w:rFonts w:ascii="Verdana" w:hAnsi="Verdana" w:cs="Verdana"/>
          <w:color w:val="1A1A1A"/>
          <w:sz w:val="30"/>
          <w:szCs w:val="30"/>
          <w:lang w:eastAsia="ja-JP"/>
        </w:rPr>
      </w:pPr>
    </w:p>
    <w:p w14:paraId="6F708943" w14:textId="77777777" w:rsidR="00F23509" w:rsidRDefault="009F6C29" w:rsidP="00040748">
      <w:pPr>
        <w:widowControl w:val="0"/>
        <w:autoSpaceDE w:val="0"/>
        <w:autoSpaceDN w:val="0"/>
        <w:adjustRightInd w:val="0"/>
        <w:jc w:val="both"/>
        <w:rPr>
          <w:rFonts w:ascii="Verdana" w:hAnsi="Verdana" w:cs="Verdana"/>
          <w:color w:val="1A1A1A"/>
          <w:sz w:val="30"/>
          <w:szCs w:val="30"/>
          <w:lang w:eastAsia="ja-JP"/>
        </w:rPr>
      </w:pPr>
      <w:r w:rsidRPr="009F6C29">
        <w:rPr>
          <w:rFonts w:ascii="Verdana" w:hAnsi="Verdana" w:cs="Verdana"/>
          <w:color w:val="1A1A1A"/>
          <w:sz w:val="30"/>
          <w:szCs w:val="30"/>
          <w:lang w:eastAsia="ja-JP"/>
        </w:rPr>
        <w:t>A la Bourse des métaux de Londres (LME), la tonne de nickel s’échangeait en temps réel à 13.520 dollars la tonne (6,13 $ par livre) vendredi à 16H30 GMT, après avoir chuté jeudi à 13.210 dollars, son cours</w:t>
      </w:r>
      <w:r w:rsidR="00F23509">
        <w:rPr>
          <w:rFonts w:ascii="Verdana" w:hAnsi="Verdana" w:cs="Verdana"/>
          <w:color w:val="1A1A1A"/>
          <w:sz w:val="30"/>
          <w:szCs w:val="30"/>
          <w:lang w:eastAsia="ja-JP"/>
        </w:rPr>
        <w:t xml:space="preserve"> le plus bas depuis trois mois.</w:t>
      </w:r>
    </w:p>
    <w:p w14:paraId="4B4EB64A" w14:textId="77777777" w:rsidR="00F23509" w:rsidRDefault="00F23509" w:rsidP="00040748">
      <w:pPr>
        <w:widowControl w:val="0"/>
        <w:pBdr>
          <w:bottom w:val="single" w:sz="6" w:space="1" w:color="auto"/>
        </w:pBdr>
        <w:autoSpaceDE w:val="0"/>
        <w:autoSpaceDN w:val="0"/>
        <w:adjustRightInd w:val="0"/>
        <w:jc w:val="both"/>
        <w:rPr>
          <w:rFonts w:ascii="Verdana" w:hAnsi="Verdana" w:cs="Verdana"/>
          <w:color w:val="1A1A1A"/>
          <w:sz w:val="30"/>
          <w:szCs w:val="30"/>
          <w:lang w:eastAsia="ja-JP"/>
        </w:rPr>
      </w:pPr>
    </w:p>
    <w:p w14:paraId="25B424E7" w14:textId="77777777" w:rsidR="001F1CE6" w:rsidRDefault="001F1CE6" w:rsidP="00040748">
      <w:pPr>
        <w:widowControl w:val="0"/>
        <w:autoSpaceDE w:val="0"/>
        <w:autoSpaceDN w:val="0"/>
        <w:adjustRightInd w:val="0"/>
        <w:jc w:val="both"/>
        <w:rPr>
          <w:rFonts w:ascii="Verdana" w:hAnsi="Verdana" w:cs="Verdana"/>
          <w:color w:val="1A1A1A"/>
          <w:sz w:val="30"/>
          <w:szCs w:val="30"/>
          <w:lang w:eastAsia="ja-JP"/>
        </w:rPr>
      </w:pPr>
    </w:p>
    <w:p w14:paraId="0AF87A9A"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/NOUVELLE CALÉDONIE /PROVINCE SUD /NOUVELLE-CALÉDONIE</w:t>
      </w:r>
    </w:p>
    <w:p w14:paraId="798420C3"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Le nickel résiste malgré les tensions commerciales</w:t>
      </w:r>
    </w:p>
    <w:p w14:paraId="5CE9C93B"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Les cours du nickel ont plutôt bien résisté cette semaine alors que les tensions commerciales entre les États-Unis et la Chine se sont accrues. Le métal est en très légère hausse de 0, 20 % sur 5 jours alors que le zinc et le plomb perdent plus de 6 % et le cuivre 1,26 %.</w:t>
      </w:r>
    </w:p>
    <w:p w14:paraId="0FD9C7F5"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 xml:space="preserve"> </w:t>
      </w:r>
    </w:p>
    <w:p w14:paraId="30D8CE95"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Paysage métallurgique et agricole dans la Ruhr. Duisburg en Allemagne © Alain Jeannin</w:t>
      </w:r>
    </w:p>
    <w:p w14:paraId="0879F609"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 ALAIN JEANNIN Paysage métallurgique et agricole dans la Ruhr. Duisburg en Allemagne</w:t>
      </w:r>
    </w:p>
    <w:p w14:paraId="49E06AD2"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Par Alain Jeannin</w:t>
      </w:r>
    </w:p>
    <w:p w14:paraId="416ED2EE"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Publié le 14/07/2018 à 03:19</w:t>
      </w:r>
    </w:p>
    <w:p w14:paraId="539EC9BA"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"Les fondamentaux du marché des métaux restent solides, mais avec les incertitudes nées des différentes tensions commerciales, les prix ne sont pas robustes", ont commenté les analystes de Bank of America Merrill Lynch. De leur côté, les experts de Wood Mackenzie continuent à croire au nickel pour les batteries des véhicules électriques. Selon eux, le cours du métal atteindra 28.700 dollars la tonne…d’ici quatre ans.</w:t>
      </w:r>
    </w:p>
    <w:p w14:paraId="0DADD989"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p>
    <w:p w14:paraId="617F2500"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En attendant cet horizon lointain, les Etats-Unis ont tiré mardi une nouvelle salve dans leur guerre commerciale avec la Chine en dressant une liste supplémentaire de produits Chinois importés, d'un montant de 200 milliards de dollars par an, qu'ils menacent de taxer à hauteur de 10 % dès septembre. "Même sans arriver à une guerre commerciale totale, l'incertitude grandissante pèse sur le moral des marchés, et la force du dollar, valeur refuge, est un autre facteur de baisse pour les métaux", ont commenté les analystes de Société Générale.</w:t>
      </w:r>
    </w:p>
    <w:p w14:paraId="65BB4EBC"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p>
    <w:p w14:paraId="5DC8650D"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Les métaux, dont la demande est très dépendante de l'activité industrielle, sont perçus comme des actifs risqués, dont les marchés se délaissent en période de risque élevé. « L’intérêt pour le nickel des négociants de matières premières est en baisse » constate le négociant Marex Spectron. L’indicateur de position des contrats négociés marque une baisse de plus de 30 % sur un mois. Vendredi, les données des douanes chinoises sont venues nourrir le pessimisme des marchés. Les importations du premier consommateur mondial de métaux de base ont cru de "seulement" 14,1 % sur un an en mai, contre une hausse de 26 % le mois précédent.</w:t>
      </w:r>
    </w:p>
    <w:p w14:paraId="6BD98CFF"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p>
    <w:p w14:paraId="1402F459"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 Que la guerre commerciale cesse et le cours du nickel repartira aussitôt. Je ne suis pas trop inquiet pour les producteurs y compris la Nouvelle-Calédonie, on était à 16.000 dollars la tonne il y a un mois, 14.000 dollars aujourd’hui, globalement le marché résiste bien » pondère David Wilson, directeur de la recherche et de la stratégie des métaux chez Freepoint Commodities. Il est vrai que la baisse des stocks mondiaux se poursuit. Les entrepôts du LME détiennent 263.200 tonnes de nickel, soit une baisse de 9.326 tonnes sur la semaine et surtout de plus de 100.000 tonnes sur un an.</w:t>
      </w:r>
    </w:p>
    <w:p w14:paraId="5064A86A"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p>
    <w:p w14:paraId="409DB92F"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La tonne de nickel a touché mercredi 13.570 dollars, à son plus bas depuis près de deux mois et demi. Sur le LME, vendredi à 18H00 GMT la tonne de métal remontait et s’échangeait à 13.995 dollars, soit 6,35 dollars la livre.</w:t>
      </w:r>
    </w:p>
    <w:p w14:paraId="7DD60F45"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p>
    <w:p w14:paraId="1814CA0C"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La tonne de cuivre a touché mercredi 6.081 dollars, à son plus bas depuis près d'un an.</w:t>
      </w:r>
    </w:p>
    <w:p w14:paraId="7097EB20"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La tonne d'aluminium a touché jeudi 2.032 dollars, à son plus bas depuis près d'un mois et demi.</w:t>
      </w:r>
    </w:p>
    <w:p w14:paraId="0F241062"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La tonne de plomb a touché jeudi 2.139,50 dollars, à son plus bas depuis plus d'un an.</w:t>
      </w:r>
    </w:p>
    <w:p w14:paraId="7595267D"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La tonne d'étain a touché mercredi 19.240 dollars, à son plus bas depuis huit mois.</w:t>
      </w:r>
    </w:p>
    <w:p w14:paraId="75F26DA9" w14:textId="77777777" w:rsid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La tonne de zinc a touché mercredi 2.503 dollars, à so</w:t>
      </w:r>
      <w:r>
        <w:rPr>
          <w:rFonts w:ascii="Verdana" w:hAnsi="Verdana" w:cs="Verdana"/>
          <w:color w:val="1A1A1A"/>
          <w:sz w:val="30"/>
          <w:szCs w:val="30"/>
          <w:lang w:eastAsia="ja-JP"/>
        </w:rPr>
        <w:t>n plus bas depuis plus d'un an.</w:t>
      </w:r>
    </w:p>
    <w:p w14:paraId="7065EE18" w14:textId="77777777" w:rsidR="00F23509" w:rsidRDefault="00F23509" w:rsidP="00040748">
      <w:pPr>
        <w:widowControl w:val="0"/>
        <w:pBdr>
          <w:bottom w:val="single" w:sz="6" w:space="1" w:color="auto"/>
        </w:pBdr>
        <w:autoSpaceDE w:val="0"/>
        <w:autoSpaceDN w:val="0"/>
        <w:adjustRightInd w:val="0"/>
        <w:jc w:val="both"/>
        <w:rPr>
          <w:rFonts w:ascii="Verdana" w:hAnsi="Verdana" w:cs="Verdana"/>
          <w:color w:val="1A1A1A"/>
          <w:sz w:val="30"/>
          <w:szCs w:val="30"/>
          <w:lang w:eastAsia="ja-JP"/>
        </w:rPr>
      </w:pPr>
    </w:p>
    <w:p w14:paraId="116BF8BF" w14:textId="77777777" w:rsidR="00F23509" w:rsidRDefault="00F23509" w:rsidP="00040748">
      <w:pPr>
        <w:widowControl w:val="0"/>
        <w:autoSpaceDE w:val="0"/>
        <w:autoSpaceDN w:val="0"/>
        <w:adjustRightInd w:val="0"/>
        <w:jc w:val="both"/>
        <w:rPr>
          <w:rFonts w:ascii="Verdana" w:hAnsi="Verdana" w:cs="Verdana"/>
          <w:color w:val="1A1A1A"/>
          <w:sz w:val="30"/>
          <w:szCs w:val="30"/>
          <w:lang w:eastAsia="ja-JP"/>
        </w:rPr>
      </w:pPr>
    </w:p>
    <w:p w14:paraId="76326BC2"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NOUVELLE CALÉDONIE</w:t>
      </w:r>
    </w:p>
    <w:p w14:paraId="075CF069"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Le nickel soutenu par le rebond des marchés asiatiques</w:t>
      </w:r>
    </w:p>
    <w:p w14:paraId="137F943C"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Après une semaine éprouvante pour les métaux industriels, le nickel a regagné du terrain en fin de semaine sans réussir à préserver le seuil des 15.000 dollars la tonne au LME de Londres.</w:t>
      </w:r>
    </w:p>
    <w:p w14:paraId="20667C18"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 xml:space="preserve"> </w:t>
      </w:r>
    </w:p>
    <w:p w14:paraId="16B36456"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Bobine d'acier inoxydable Aperam avec nickel calédonien SLN25 Eramet © Alain Jeannin</w:t>
      </w:r>
    </w:p>
    <w:p w14:paraId="7B1CF2E2"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 ALAIN JEANNIN Bobine d'acier inoxydable Aperam avec nickel calédonien SLN25 Eramet</w:t>
      </w:r>
    </w:p>
    <w:p w14:paraId="209EB86C"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Par Alain Jeannin</w:t>
      </w:r>
    </w:p>
    <w:p w14:paraId="0415C581"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Publié le 30/06/2018 à 02:52</w:t>
      </w:r>
    </w:p>
    <w:p w14:paraId="5246972A"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L'euro (+0,89 %) poursuivait sa remontée vendredi face au dollar, conforté par un accord européen conclu au forceps sur les questions migratoires et aidé par la hausse de l'inflation en zone euro.</w:t>
      </w:r>
    </w:p>
    <w:p w14:paraId="79221406"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p>
    <w:p w14:paraId="2B672E5B"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Concernant les tensions commerciales entre les Etats-Unis et la Chine qui ont concentré l'attention du marché pendant plusieurs jours, "les choses semblent s'être un peu calmées", ont fait remarquer les analystes de Commerzbank, dénotant une certaine torpeur des marchés à l'approche des vacances d’été en Europe et aux Etats-Unis.</w:t>
      </w:r>
    </w:p>
    <w:p w14:paraId="306A1C6C"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p>
    <w:p w14:paraId="71D11A06"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 xml:space="preserve">La production manufacturière au Japon a baissé moins fortement que prévu le mois dernier et le taux de chômage y a touché son plus bas niveau en plus de 25 ans, confirmant un redressement progressif de l'économie après un creux au premier trimestre. Le nickel a limité ses pertes de la semaine grâce également au retournement haussier des marchés chinois, eux-mêmes relancés par la perspective d’une intervention de la banque centrale du pays. </w:t>
      </w:r>
    </w:p>
    <w:p w14:paraId="7DE03A42"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p>
    <w:p w14:paraId="1E27ED57"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En tout cas, la Chine prend des assurances pour garantir sur le long terme l’approvisionnement de ses usines d’acier inoxydable. La société métallurgique Xinxing Pipes prévoit d’investir 13,5 millions de dollars dans la deuxième phase des opérations de développement de la grande usine de ferronickel PT Megah Surya Pertiwi en Indonésie, a rapporté Alastair Munro, analyste du nickel chez Marex Spectron.</w:t>
      </w:r>
    </w:p>
    <w:p w14:paraId="7CC8E3B7"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p>
    <w:p w14:paraId="41D4DDC3"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Le cobalt, le tungstène et l'étain figurent en tête des métaux dont l'approvisionnement pourrait devenir problématique, mais pas avant 2030, avec les véhicules électriques et le stockage de l'énergie, selon des experts réunis au Forum Mondial des Matériaux (WMF) à Nancy. La conséquence la plus notable sera la forte hausse de la demande de certains métaux utilisés dans les batteries, avec en premier lieu le cobalt et le nickel. Robert Friedland, PDG de la compagnie minière canadienne Ivanhoé estime que « les risques de pénurie de cobalt et de nickel son bien réels ».</w:t>
      </w:r>
    </w:p>
    <w:p w14:paraId="1E4C6C77" w14:textId="77777777" w:rsidR="00F23509" w:rsidRPr="00F23509" w:rsidRDefault="00F23509" w:rsidP="00040748">
      <w:pPr>
        <w:widowControl w:val="0"/>
        <w:autoSpaceDE w:val="0"/>
        <w:autoSpaceDN w:val="0"/>
        <w:adjustRightInd w:val="0"/>
        <w:jc w:val="both"/>
        <w:rPr>
          <w:rFonts w:ascii="Verdana" w:hAnsi="Verdana" w:cs="Verdana"/>
          <w:color w:val="1A1A1A"/>
          <w:sz w:val="30"/>
          <w:szCs w:val="30"/>
          <w:lang w:eastAsia="ja-JP"/>
        </w:rPr>
      </w:pPr>
    </w:p>
    <w:p w14:paraId="74E9D6E9" w14:textId="77777777" w:rsidR="00F23509" w:rsidRDefault="00F23509" w:rsidP="00040748">
      <w:pPr>
        <w:widowControl w:val="0"/>
        <w:autoSpaceDE w:val="0"/>
        <w:autoSpaceDN w:val="0"/>
        <w:adjustRightInd w:val="0"/>
        <w:jc w:val="both"/>
        <w:rPr>
          <w:rFonts w:ascii="Verdana" w:hAnsi="Verdana" w:cs="Verdana"/>
          <w:color w:val="1A1A1A"/>
          <w:sz w:val="30"/>
          <w:szCs w:val="30"/>
          <w:lang w:eastAsia="ja-JP"/>
        </w:rPr>
      </w:pPr>
      <w:r w:rsidRPr="00F23509">
        <w:rPr>
          <w:rFonts w:ascii="Verdana" w:hAnsi="Verdana" w:cs="Verdana"/>
          <w:color w:val="1A1A1A"/>
          <w:sz w:val="30"/>
          <w:szCs w:val="30"/>
          <w:lang w:eastAsia="ja-JP"/>
        </w:rPr>
        <w:t xml:space="preserve">A 17.00 PM vendredi, la tonne de nickel pur valait 14.893 dollars (+0,76 %) au LME de Londres.  </w:t>
      </w:r>
    </w:p>
    <w:p w14:paraId="49E6A600" w14:textId="77777777" w:rsidR="001F4769" w:rsidRDefault="001F4769" w:rsidP="00040748">
      <w:pPr>
        <w:widowControl w:val="0"/>
        <w:pBdr>
          <w:bottom w:val="single" w:sz="6" w:space="1" w:color="auto"/>
        </w:pBdr>
        <w:autoSpaceDE w:val="0"/>
        <w:autoSpaceDN w:val="0"/>
        <w:adjustRightInd w:val="0"/>
        <w:jc w:val="both"/>
        <w:rPr>
          <w:rFonts w:ascii="Verdana" w:hAnsi="Verdana" w:cs="Verdana"/>
          <w:color w:val="1A1A1A"/>
          <w:sz w:val="30"/>
          <w:szCs w:val="30"/>
          <w:lang w:eastAsia="ja-JP"/>
        </w:rPr>
      </w:pPr>
    </w:p>
    <w:p w14:paraId="307B237F" w14:textId="77777777" w:rsidR="001F4769" w:rsidRDefault="001F4769" w:rsidP="00040748">
      <w:pPr>
        <w:widowControl w:val="0"/>
        <w:autoSpaceDE w:val="0"/>
        <w:autoSpaceDN w:val="0"/>
        <w:adjustRightInd w:val="0"/>
        <w:jc w:val="both"/>
        <w:rPr>
          <w:rFonts w:ascii="Verdana" w:hAnsi="Verdana" w:cs="Verdana"/>
          <w:color w:val="1A1A1A"/>
          <w:sz w:val="30"/>
          <w:szCs w:val="30"/>
          <w:lang w:eastAsia="ja-JP"/>
        </w:rPr>
      </w:pPr>
    </w:p>
    <w:p w14:paraId="7F0D7C46" w14:textId="19110C14" w:rsidR="001F4769" w:rsidRPr="002579C8" w:rsidRDefault="002579C8" w:rsidP="00040748">
      <w:pPr>
        <w:pStyle w:val="Default"/>
        <w:jc w:val="both"/>
        <w:rPr>
          <w:b/>
          <w:sz w:val="32"/>
          <w:szCs w:val="32"/>
        </w:rPr>
      </w:pPr>
      <w:r w:rsidRPr="002579C8">
        <w:rPr>
          <w:b/>
          <w:sz w:val="32"/>
          <w:szCs w:val="32"/>
        </w:rPr>
        <w:t xml:space="preserve">Rapport ERAMET </w:t>
      </w:r>
      <w:r>
        <w:rPr>
          <w:b/>
          <w:sz w:val="32"/>
          <w:szCs w:val="32"/>
        </w:rPr>
        <w:t>1</w:t>
      </w:r>
      <w:r w:rsidRPr="002579C8">
        <w:rPr>
          <w:b/>
          <w:sz w:val="32"/>
          <w:szCs w:val="32"/>
          <w:vertAlign w:val="superscript"/>
        </w:rPr>
        <w:t>er</w:t>
      </w:r>
      <w:r>
        <w:rPr>
          <w:b/>
          <w:sz w:val="32"/>
          <w:szCs w:val="32"/>
        </w:rPr>
        <w:t xml:space="preserve"> semestre </w:t>
      </w:r>
      <w:r w:rsidRPr="002579C8">
        <w:rPr>
          <w:b/>
          <w:sz w:val="32"/>
          <w:szCs w:val="32"/>
        </w:rPr>
        <w:t>201</w:t>
      </w:r>
      <w:r>
        <w:rPr>
          <w:b/>
          <w:sz w:val="32"/>
          <w:szCs w:val="32"/>
        </w:rPr>
        <w:t>8</w:t>
      </w:r>
      <w:r w:rsidRPr="002579C8">
        <w:rPr>
          <w:b/>
          <w:sz w:val="32"/>
          <w:szCs w:val="32"/>
        </w:rPr>
        <w:t>, extraits</w:t>
      </w:r>
    </w:p>
    <w:p w14:paraId="44C20D90" w14:textId="77777777" w:rsidR="002579C8" w:rsidRDefault="002579C8" w:rsidP="00040748">
      <w:pPr>
        <w:pStyle w:val="Default"/>
        <w:jc w:val="both"/>
        <w:rPr>
          <w:rFonts w:cs="Times New Roman"/>
          <w:color w:val="auto"/>
          <w:sz w:val="30"/>
          <w:szCs w:val="30"/>
        </w:rPr>
      </w:pPr>
    </w:p>
    <w:p w14:paraId="43659206" w14:textId="77777777" w:rsidR="001F4769" w:rsidRDefault="001F4769" w:rsidP="00040748">
      <w:pPr>
        <w:pStyle w:val="Default"/>
        <w:jc w:val="both"/>
        <w:rPr>
          <w:rFonts w:cs="Times New Roman"/>
          <w:color w:val="auto"/>
          <w:sz w:val="30"/>
          <w:szCs w:val="30"/>
        </w:rPr>
      </w:pPr>
      <w:r>
        <w:rPr>
          <w:rFonts w:cs="Times New Roman"/>
          <w:color w:val="auto"/>
          <w:sz w:val="30"/>
          <w:szCs w:val="30"/>
        </w:rPr>
        <w:t xml:space="preserve">Certaines informations contenues dans cette présentation, y compris toute information relative aux projets ou aux performances futures financières et opérationnelles d'ERAMET, ainsi que toutes autres déclarations exprimant les attentes ou les prévisions de performance futures de la Direction, constituent des déclarations prospectives. Ces déclarations sont fondées sur un certain nombre d'estimations et d'hypothèses qui, bien que jugées raisonnables par la Direction au moment de leur publication, peuvent comporter des incertitudes importantes liées aux affaires, à l'économie et à la concurrence. ERAMET met en garde sur le fait que ces déclarations comportent des risques connus et inconnus, des incertitudes et d'autres facteurs susceptibles d'entraîner des différences potentiellement significatives entre les résultats financiers réels, les performances, les réalisations d'ERAMET et les éléments estimatifs énoncés ou pouvant être déduits des déclarations prospectives. </w:t>
      </w:r>
    </w:p>
    <w:p w14:paraId="2A9FCF1E" w14:textId="77777777" w:rsidR="001F4769" w:rsidRDefault="001F4769" w:rsidP="00040748">
      <w:pPr>
        <w:pStyle w:val="Default"/>
        <w:jc w:val="both"/>
        <w:rPr>
          <w:rFonts w:cs="Times New Roman"/>
          <w:color w:val="auto"/>
          <w:sz w:val="30"/>
          <w:szCs w:val="30"/>
        </w:rPr>
      </w:pPr>
      <w:r>
        <w:rPr>
          <w:rFonts w:cs="Times New Roman"/>
          <w:color w:val="auto"/>
          <w:sz w:val="30"/>
          <w:szCs w:val="30"/>
        </w:rPr>
        <w:t xml:space="preserve">Les informations sur les performances passées rapportées dans cette présentation sont uniquement données à titre indicatif et ne constituent pas nécessairement une indication quant aux performances futures. Aucune garantie n'est donnée par quiconque quant à la probabilité d'atteindre ou quant au caractère raisonnable des déclarations prospectives, des prévisions financières ou toutes autres prévisions. Aucune information contenue dans cette présentation ne constitue ou ne saurait constituer une promesse, une affirmation, une garantie quant aux performances passées, présentes ou futures d'ERAMET. </w:t>
      </w:r>
    </w:p>
    <w:p w14:paraId="4FD96AB2" w14:textId="77777777" w:rsidR="001F4769" w:rsidRDefault="001F4769" w:rsidP="00040748">
      <w:pPr>
        <w:widowControl w:val="0"/>
        <w:autoSpaceDE w:val="0"/>
        <w:autoSpaceDN w:val="0"/>
        <w:adjustRightInd w:val="0"/>
        <w:jc w:val="both"/>
        <w:rPr>
          <w:sz w:val="30"/>
          <w:szCs w:val="30"/>
        </w:rPr>
      </w:pPr>
      <w:r>
        <w:rPr>
          <w:sz w:val="30"/>
          <w:szCs w:val="30"/>
        </w:rPr>
        <w:t>Rien dans cette présentation ne saurait constituer ni une offre de vente ou un démarchage visant à acheter ou vendre des titres ou une offre de vente de titres dans toute juridiction, dans laquelle une telle offre ou démarchage ou vente de titres serait illégale en application de la réglementation boursière d’une telle juridiction.</w:t>
      </w:r>
    </w:p>
    <w:p w14:paraId="62DEFC5D" w14:textId="77777777" w:rsidR="001F4769" w:rsidRDefault="001F4769" w:rsidP="00040748">
      <w:pPr>
        <w:widowControl w:val="0"/>
        <w:autoSpaceDE w:val="0"/>
        <w:autoSpaceDN w:val="0"/>
        <w:adjustRightInd w:val="0"/>
        <w:jc w:val="both"/>
        <w:rPr>
          <w:sz w:val="30"/>
          <w:szCs w:val="30"/>
        </w:rPr>
      </w:pPr>
    </w:p>
    <w:p w14:paraId="1F84637D" w14:textId="77777777" w:rsidR="001F4769" w:rsidRDefault="001F4769"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1681C85F" wp14:editId="0BF09631">
            <wp:extent cx="3595370" cy="2597804"/>
            <wp:effectExtent l="0" t="0" r="1143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95370" cy="2597804"/>
                    </a:xfrm>
                    <a:prstGeom prst="rect">
                      <a:avLst/>
                    </a:prstGeom>
                    <a:noFill/>
                    <a:ln>
                      <a:noFill/>
                    </a:ln>
                  </pic:spPr>
                </pic:pic>
              </a:graphicData>
            </a:graphic>
          </wp:inline>
        </w:drawing>
      </w:r>
    </w:p>
    <w:p w14:paraId="34E974DF" w14:textId="77777777" w:rsidR="001F4769" w:rsidRDefault="001F4769" w:rsidP="00040748">
      <w:pPr>
        <w:widowControl w:val="0"/>
        <w:autoSpaceDE w:val="0"/>
        <w:autoSpaceDN w:val="0"/>
        <w:adjustRightInd w:val="0"/>
        <w:jc w:val="both"/>
        <w:rPr>
          <w:rFonts w:ascii="Verdana" w:hAnsi="Verdana" w:cs="Verdana"/>
          <w:color w:val="1A1A1A"/>
          <w:sz w:val="30"/>
          <w:szCs w:val="30"/>
          <w:lang w:eastAsia="ja-JP"/>
        </w:rPr>
      </w:pPr>
    </w:p>
    <w:p w14:paraId="7B356D45" w14:textId="77777777" w:rsidR="001F4769" w:rsidRDefault="00C930E1"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27BE99B0" wp14:editId="561ABE24">
            <wp:extent cx="3595370" cy="2633693"/>
            <wp:effectExtent l="0" t="0" r="11430" b="825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95370" cy="2633693"/>
                    </a:xfrm>
                    <a:prstGeom prst="rect">
                      <a:avLst/>
                    </a:prstGeom>
                    <a:noFill/>
                    <a:ln>
                      <a:noFill/>
                    </a:ln>
                  </pic:spPr>
                </pic:pic>
              </a:graphicData>
            </a:graphic>
          </wp:inline>
        </w:drawing>
      </w:r>
    </w:p>
    <w:p w14:paraId="4BADDD3D" w14:textId="77777777" w:rsidR="00C930E1" w:rsidRDefault="00C930E1" w:rsidP="00040748">
      <w:pPr>
        <w:widowControl w:val="0"/>
        <w:autoSpaceDE w:val="0"/>
        <w:autoSpaceDN w:val="0"/>
        <w:adjustRightInd w:val="0"/>
        <w:jc w:val="both"/>
        <w:rPr>
          <w:rFonts w:ascii="Verdana" w:hAnsi="Verdana" w:cs="Verdana"/>
          <w:color w:val="1A1A1A"/>
          <w:sz w:val="30"/>
          <w:szCs w:val="30"/>
          <w:lang w:eastAsia="ja-JP"/>
        </w:rPr>
      </w:pPr>
    </w:p>
    <w:p w14:paraId="680D39A9" w14:textId="77777777" w:rsidR="00C930E1" w:rsidRDefault="00C930E1"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5AFD56AD" wp14:editId="43F2FE65">
            <wp:extent cx="3595370" cy="2489011"/>
            <wp:effectExtent l="0" t="0" r="11430" b="63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95370" cy="2489011"/>
                    </a:xfrm>
                    <a:prstGeom prst="rect">
                      <a:avLst/>
                    </a:prstGeom>
                    <a:noFill/>
                    <a:ln>
                      <a:noFill/>
                    </a:ln>
                  </pic:spPr>
                </pic:pic>
              </a:graphicData>
            </a:graphic>
          </wp:inline>
        </w:drawing>
      </w:r>
    </w:p>
    <w:p w14:paraId="5E69F3B1" w14:textId="77777777" w:rsidR="00C930E1" w:rsidRDefault="00C930E1" w:rsidP="00040748">
      <w:pPr>
        <w:widowControl w:val="0"/>
        <w:autoSpaceDE w:val="0"/>
        <w:autoSpaceDN w:val="0"/>
        <w:adjustRightInd w:val="0"/>
        <w:jc w:val="both"/>
        <w:rPr>
          <w:rFonts w:ascii="Verdana" w:hAnsi="Verdana" w:cs="Verdana"/>
          <w:color w:val="1A1A1A"/>
          <w:sz w:val="30"/>
          <w:szCs w:val="30"/>
          <w:lang w:eastAsia="ja-JP"/>
        </w:rPr>
      </w:pPr>
    </w:p>
    <w:p w14:paraId="21B6AB57" w14:textId="77777777" w:rsidR="00C930E1" w:rsidRDefault="00C930E1"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5C163079" wp14:editId="5A4E6C3F">
            <wp:extent cx="3595370" cy="2394569"/>
            <wp:effectExtent l="0" t="0" r="1143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95370" cy="2394569"/>
                    </a:xfrm>
                    <a:prstGeom prst="rect">
                      <a:avLst/>
                    </a:prstGeom>
                    <a:noFill/>
                    <a:ln>
                      <a:noFill/>
                    </a:ln>
                  </pic:spPr>
                </pic:pic>
              </a:graphicData>
            </a:graphic>
          </wp:inline>
        </w:drawing>
      </w:r>
    </w:p>
    <w:p w14:paraId="77D7DA81" w14:textId="77777777" w:rsidR="00C930E1" w:rsidRDefault="00C930E1" w:rsidP="00040748">
      <w:pPr>
        <w:widowControl w:val="0"/>
        <w:autoSpaceDE w:val="0"/>
        <w:autoSpaceDN w:val="0"/>
        <w:adjustRightInd w:val="0"/>
        <w:jc w:val="both"/>
        <w:rPr>
          <w:rFonts w:ascii="Verdana" w:hAnsi="Verdana" w:cs="Verdana"/>
          <w:color w:val="1A1A1A"/>
          <w:sz w:val="30"/>
          <w:szCs w:val="30"/>
          <w:lang w:eastAsia="ja-JP"/>
        </w:rPr>
      </w:pPr>
    </w:p>
    <w:p w14:paraId="2EE68605" w14:textId="77777777" w:rsidR="00C930E1" w:rsidRDefault="00561417"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0D9B8202" wp14:editId="21D74764">
            <wp:extent cx="3595370" cy="2440455"/>
            <wp:effectExtent l="0" t="0" r="1143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95370" cy="2440455"/>
                    </a:xfrm>
                    <a:prstGeom prst="rect">
                      <a:avLst/>
                    </a:prstGeom>
                    <a:noFill/>
                    <a:ln>
                      <a:noFill/>
                    </a:ln>
                  </pic:spPr>
                </pic:pic>
              </a:graphicData>
            </a:graphic>
          </wp:inline>
        </w:drawing>
      </w:r>
    </w:p>
    <w:p w14:paraId="5CB02ABB" w14:textId="77777777" w:rsidR="00561417" w:rsidRDefault="00561417"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5ADA97CD" wp14:editId="0EFE7076">
            <wp:extent cx="3595370" cy="176410"/>
            <wp:effectExtent l="0" t="0" r="0" b="190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95370" cy="176410"/>
                    </a:xfrm>
                    <a:prstGeom prst="rect">
                      <a:avLst/>
                    </a:prstGeom>
                    <a:noFill/>
                    <a:ln>
                      <a:noFill/>
                    </a:ln>
                  </pic:spPr>
                </pic:pic>
              </a:graphicData>
            </a:graphic>
          </wp:inline>
        </w:drawing>
      </w:r>
    </w:p>
    <w:p w14:paraId="6D643B9F" w14:textId="77777777" w:rsidR="00561417" w:rsidRDefault="00561417" w:rsidP="00040748">
      <w:pPr>
        <w:widowControl w:val="0"/>
        <w:autoSpaceDE w:val="0"/>
        <w:autoSpaceDN w:val="0"/>
        <w:adjustRightInd w:val="0"/>
        <w:jc w:val="both"/>
        <w:rPr>
          <w:rFonts w:ascii="Verdana" w:hAnsi="Verdana" w:cs="Verdana"/>
          <w:color w:val="1A1A1A"/>
          <w:sz w:val="30"/>
          <w:szCs w:val="30"/>
          <w:lang w:eastAsia="ja-JP"/>
        </w:rPr>
      </w:pPr>
    </w:p>
    <w:p w14:paraId="39502DFC" w14:textId="77777777" w:rsidR="00561417" w:rsidRDefault="00561417"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522D224D" wp14:editId="2889D019">
            <wp:extent cx="3595370" cy="2360831"/>
            <wp:effectExtent l="0" t="0" r="11430" b="190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95370" cy="2360831"/>
                    </a:xfrm>
                    <a:prstGeom prst="rect">
                      <a:avLst/>
                    </a:prstGeom>
                    <a:noFill/>
                    <a:ln>
                      <a:noFill/>
                    </a:ln>
                  </pic:spPr>
                </pic:pic>
              </a:graphicData>
            </a:graphic>
          </wp:inline>
        </w:drawing>
      </w:r>
    </w:p>
    <w:p w14:paraId="5400F3B0" w14:textId="77777777" w:rsidR="00561417" w:rsidRDefault="00561417"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4A0106AE" wp14:editId="246A1283">
            <wp:extent cx="3595370" cy="2618310"/>
            <wp:effectExtent l="0" t="0" r="1143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95370" cy="2618310"/>
                    </a:xfrm>
                    <a:prstGeom prst="rect">
                      <a:avLst/>
                    </a:prstGeom>
                    <a:noFill/>
                    <a:ln>
                      <a:noFill/>
                    </a:ln>
                  </pic:spPr>
                </pic:pic>
              </a:graphicData>
            </a:graphic>
          </wp:inline>
        </w:drawing>
      </w:r>
    </w:p>
    <w:p w14:paraId="43918A4B" w14:textId="77777777" w:rsidR="00561417" w:rsidRDefault="00283B6B"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1454E224" wp14:editId="17743B8C">
            <wp:extent cx="3595370" cy="2649363"/>
            <wp:effectExtent l="0" t="0" r="1143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95370" cy="2649363"/>
                    </a:xfrm>
                    <a:prstGeom prst="rect">
                      <a:avLst/>
                    </a:prstGeom>
                    <a:noFill/>
                    <a:ln>
                      <a:noFill/>
                    </a:ln>
                  </pic:spPr>
                </pic:pic>
              </a:graphicData>
            </a:graphic>
          </wp:inline>
        </w:drawing>
      </w:r>
    </w:p>
    <w:p w14:paraId="4173338A" w14:textId="77777777" w:rsidR="00283B6B" w:rsidRDefault="00283B6B"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611D33BD" wp14:editId="3856B73F">
            <wp:extent cx="3595370" cy="109282"/>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95370" cy="109282"/>
                    </a:xfrm>
                    <a:prstGeom prst="rect">
                      <a:avLst/>
                    </a:prstGeom>
                    <a:noFill/>
                    <a:ln>
                      <a:noFill/>
                    </a:ln>
                  </pic:spPr>
                </pic:pic>
              </a:graphicData>
            </a:graphic>
          </wp:inline>
        </w:drawing>
      </w:r>
    </w:p>
    <w:p w14:paraId="7B8D1C3B" w14:textId="77777777" w:rsidR="00283B6B" w:rsidRDefault="00283B6B"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71C0C0B4" wp14:editId="0AADAAE9">
            <wp:extent cx="3595370" cy="2578606"/>
            <wp:effectExtent l="0" t="0" r="11430" b="1270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95370" cy="2578606"/>
                    </a:xfrm>
                    <a:prstGeom prst="rect">
                      <a:avLst/>
                    </a:prstGeom>
                    <a:noFill/>
                    <a:ln>
                      <a:noFill/>
                    </a:ln>
                  </pic:spPr>
                </pic:pic>
              </a:graphicData>
            </a:graphic>
          </wp:inline>
        </w:drawing>
      </w:r>
    </w:p>
    <w:p w14:paraId="6F81013C" w14:textId="77777777" w:rsidR="00283B6B" w:rsidRDefault="00283B6B"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43826750" wp14:editId="7CC24A84">
            <wp:extent cx="3595370" cy="124121"/>
            <wp:effectExtent l="0" t="0" r="0" b="317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95370" cy="124121"/>
                    </a:xfrm>
                    <a:prstGeom prst="rect">
                      <a:avLst/>
                    </a:prstGeom>
                    <a:noFill/>
                    <a:ln>
                      <a:noFill/>
                    </a:ln>
                  </pic:spPr>
                </pic:pic>
              </a:graphicData>
            </a:graphic>
          </wp:inline>
        </w:drawing>
      </w:r>
    </w:p>
    <w:p w14:paraId="43195A1A" w14:textId="0A040072" w:rsidR="00283B6B" w:rsidRDefault="004C7B25"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4B89C25C" wp14:editId="789E652D">
            <wp:extent cx="3595370" cy="2608431"/>
            <wp:effectExtent l="0" t="0" r="11430" b="825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95370" cy="2608431"/>
                    </a:xfrm>
                    <a:prstGeom prst="rect">
                      <a:avLst/>
                    </a:prstGeom>
                    <a:noFill/>
                    <a:ln>
                      <a:noFill/>
                    </a:ln>
                  </pic:spPr>
                </pic:pic>
              </a:graphicData>
            </a:graphic>
          </wp:inline>
        </w:drawing>
      </w:r>
    </w:p>
    <w:p w14:paraId="6F9C595E" w14:textId="77777777" w:rsidR="004C7B25" w:rsidRDefault="004C7B25" w:rsidP="00040748">
      <w:pPr>
        <w:widowControl w:val="0"/>
        <w:autoSpaceDE w:val="0"/>
        <w:autoSpaceDN w:val="0"/>
        <w:adjustRightInd w:val="0"/>
        <w:jc w:val="both"/>
        <w:rPr>
          <w:rFonts w:ascii="Verdana" w:hAnsi="Verdana" w:cs="Verdana"/>
          <w:color w:val="1A1A1A"/>
          <w:sz w:val="30"/>
          <w:szCs w:val="30"/>
          <w:lang w:eastAsia="ja-JP"/>
        </w:rPr>
      </w:pPr>
    </w:p>
    <w:p w14:paraId="5C1D6C40" w14:textId="356E1326" w:rsidR="004C7B25" w:rsidRDefault="004C7B25"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05A6518D" wp14:editId="312C5D81">
            <wp:extent cx="3595370" cy="2516226"/>
            <wp:effectExtent l="0" t="0" r="1143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95370" cy="2516226"/>
                    </a:xfrm>
                    <a:prstGeom prst="rect">
                      <a:avLst/>
                    </a:prstGeom>
                    <a:noFill/>
                    <a:ln>
                      <a:noFill/>
                    </a:ln>
                  </pic:spPr>
                </pic:pic>
              </a:graphicData>
            </a:graphic>
          </wp:inline>
        </w:drawing>
      </w:r>
    </w:p>
    <w:p w14:paraId="0E0BFBE7" w14:textId="77777777" w:rsidR="004C7B25" w:rsidRDefault="004C7B25" w:rsidP="00040748">
      <w:pPr>
        <w:widowControl w:val="0"/>
        <w:autoSpaceDE w:val="0"/>
        <w:autoSpaceDN w:val="0"/>
        <w:adjustRightInd w:val="0"/>
        <w:jc w:val="both"/>
        <w:rPr>
          <w:rFonts w:ascii="Verdana" w:hAnsi="Verdana" w:cs="Verdana"/>
          <w:color w:val="1A1A1A"/>
          <w:sz w:val="30"/>
          <w:szCs w:val="30"/>
          <w:lang w:eastAsia="ja-JP"/>
        </w:rPr>
      </w:pPr>
    </w:p>
    <w:p w14:paraId="7CCB7ED1" w14:textId="145B1AAC" w:rsidR="004C7B25" w:rsidRDefault="004C7B25"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7D55834B" wp14:editId="000296D6">
            <wp:extent cx="3595370" cy="2281849"/>
            <wp:effectExtent l="0" t="0" r="11430" b="4445"/>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95370" cy="2281849"/>
                    </a:xfrm>
                    <a:prstGeom prst="rect">
                      <a:avLst/>
                    </a:prstGeom>
                    <a:noFill/>
                    <a:ln>
                      <a:noFill/>
                    </a:ln>
                  </pic:spPr>
                </pic:pic>
              </a:graphicData>
            </a:graphic>
          </wp:inline>
        </w:drawing>
      </w:r>
    </w:p>
    <w:p w14:paraId="7E6152B9" w14:textId="77777777" w:rsidR="004C7B25" w:rsidRDefault="004C7B25" w:rsidP="00040748">
      <w:pPr>
        <w:widowControl w:val="0"/>
        <w:autoSpaceDE w:val="0"/>
        <w:autoSpaceDN w:val="0"/>
        <w:adjustRightInd w:val="0"/>
        <w:jc w:val="both"/>
        <w:rPr>
          <w:rFonts w:ascii="Verdana" w:hAnsi="Verdana" w:cs="Verdana"/>
          <w:color w:val="1A1A1A"/>
          <w:sz w:val="30"/>
          <w:szCs w:val="30"/>
          <w:lang w:eastAsia="ja-JP"/>
        </w:rPr>
      </w:pPr>
    </w:p>
    <w:p w14:paraId="76AF923E" w14:textId="0D9F5CDF" w:rsidR="004C7B25" w:rsidRDefault="004C7B25"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0DF0C8E3" wp14:editId="10CD76D9">
            <wp:extent cx="3595370" cy="2497065"/>
            <wp:effectExtent l="0" t="0" r="1143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95370" cy="2497065"/>
                    </a:xfrm>
                    <a:prstGeom prst="rect">
                      <a:avLst/>
                    </a:prstGeom>
                    <a:noFill/>
                    <a:ln>
                      <a:noFill/>
                    </a:ln>
                  </pic:spPr>
                </pic:pic>
              </a:graphicData>
            </a:graphic>
          </wp:inline>
        </w:drawing>
      </w:r>
    </w:p>
    <w:p w14:paraId="355513C3" w14:textId="79ED537C" w:rsidR="004C7B25" w:rsidRDefault="004C7B25"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5EC8B3A6" wp14:editId="31A3A075">
            <wp:extent cx="3595370" cy="2558652"/>
            <wp:effectExtent l="0" t="0" r="11430" b="698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95370" cy="2558652"/>
                    </a:xfrm>
                    <a:prstGeom prst="rect">
                      <a:avLst/>
                    </a:prstGeom>
                    <a:noFill/>
                    <a:ln>
                      <a:noFill/>
                    </a:ln>
                  </pic:spPr>
                </pic:pic>
              </a:graphicData>
            </a:graphic>
          </wp:inline>
        </w:drawing>
      </w:r>
    </w:p>
    <w:p w14:paraId="6D4F7740" w14:textId="7E439F9D" w:rsidR="004C7B25" w:rsidRDefault="004C7B25"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1A3F71B7" wp14:editId="61E82BB2">
            <wp:extent cx="3595370" cy="126598"/>
            <wp:effectExtent l="0" t="0" r="0" b="63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95370" cy="126598"/>
                    </a:xfrm>
                    <a:prstGeom prst="rect">
                      <a:avLst/>
                    </a:prstGeom>
                    <a:noFill/>
                    <a:ln>
                      <a:noFill/>
                    </a:ln>
                  </pic:spPr>
                </pic:pic>
              </a:graphicData>
            </a:graphic>
          </wp:inline>
        </w:drawing>
      </w:r>
    </w:p>
    <w:p w14:paraId="22E12881" w14:textId="77777777" w:rsidR="004C7B25" w:rsidRDefault="004C7B25" w:rsidP="00040748">
      <w:pPr>
        <w:widowControl w:val="0"/>
        <w:autoSpaceDE w:val="0"/>
        <w:autoSpaceDN w:val="0"/>
        <w:adjustRightInd w:val="0"/>
        <w:jc w:val="both"/>
        <w:rPr>
          <w:rFonts w:ascii="Verdana" w:hAnsi="Verdana" w:cs="Verdana"/>
          <w:color w:val="1A1A1A"/>
          <w:sz w:val="30"/>
          <w:szCs w:val="30"/>
          <w:lang w:eastAsia="ja-JP"/>
        </w:rPr>
      </w:pPr>
    </w:p>
    <w:p w14:paraId="32DB925D" w14:textId="29C676C3" w:rsidR="004C7B25" w:rsidRDefault="004C7B25"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0DFEDDB1" wp14:editId="4F13CC92">
            <wp:extent cx="5517215" cy="3878349"/>
            <wp:effectExtent l="0" t="0" r="0" b="8255"/>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18113" cy="3878980"/>
                    </a:xfrm>
                    <a:prstGeom prst="rect">
                      <a:avLst/>
                    </a:prstGeom>
                    <a:noFill/>
                    <a:ln>
                      <a:noFill/>
                    </a:ln>
                  </pic:spPr>
                </pic:pic>
              </a:graphicData>
            </a:graphic>
          </wp:inline>
        </w:drawing>
      </w:r>
    </w:p>
    <w:p w14:paraId="7E384429" w14:textId="22B6C9AF" w:rsidR="004C7B25" w:rsidRDefault="004C7B25"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69CE3417" wp14:editId="140DC27C">
            <wp:extent cx="3595370" cy="2541109"/>
            <wp:effectExtent l="0" t="0" r="1143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95370" cy="2541109"/>
                    </a:xfrm>
                    <a:prstGeom prst="rect">
                      <a:avLst/>
                    </a:prstGeom>
                    <a:noFill/>
                    <a:ln>
                      <a:noFill/>
                    </a:ln>
                  </pic:spPr>
                </pic:pic>
              </a:graphicData>
            </a:graphic>
          </wp:inline>
        </w:drawing>
      </w:r>
    </w:p>
    <w:p w14:paraId="6EEADE52" w14:textId="77777777" w:rsidR="004C7B25" w:rsidRDefault="004C7B25" w:rsidP="00040748">
      <w:pPr>
        <w:widowControl w:val="0"/>
        <w:autoSpaceDE w:val="0"/>
        <w:autoSpaceDN w:val="0"/>
        <w:adjustRightInd w:val="0"/>
        <w:jc w:val="both"/>
        <w:rPr>
          <w:rFonts w:ascii="Verdana" w:hAnsi="Verdana" w:cs="Verdana"/>
          <w:color w:val="1A1A1A"/>
          <w:sz w:val="30"/>
          <w:szCs w:val="30"/>
          <w:lang w:eastAsia="ja-JP"/>
        </w:rPr>
      </w:pPr>
    </w:p>
    <w:p w14:paraId="435FD05F" w14:textId="26DF66EB" w:rsidR="004C7B25" w:rsidRDefault="001F7C1D"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6A2F4FB2" wp14:editId="59EA4538">
            <wp:extent cx="3595370" cy="2593807"/>
            <wp:effectExtent l="0" t="0" r="1143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95370" cy="2593807"/>
                    </a:xfrm>
                    <a:prstGeom prst="rect">
                      <a:avLst/>
                    </a:prstGeom>
                    <a:noFill/>
                    <a:ln>
                      <a:noFill/>
                    </a:ln>
                  </pic:spPr>
                </pic:pic>
              </a:graphicData>
            </a:graphic>
          </wp:inline>
        </w:drawing>
      </w:r>
    </w:p>
    <w:p w14:paraId="0B6E6B5C" w14:textId="7F9FCB28" w:rsidR="001F7C1D" w:rsidRDefault="001F7C1D"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78DB2FCF" wp14:editId="550D6DCE">
            <wp:extent cx="3595370" cy="118319"/>
            <wp:effectExtent l="0" t="0" r="0" b="889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95370" cy="118319"/>
                    </a:xfrm>
                    <a:prstGeom prst="rect">
                      <a:avLst/>
                    </a:prstGeom>
                    <a:noFill/>
                    <a:ln>
                      <a:noFill/>
                    </a:ln>
                  </pic:spPr>
                </pic:pic>
              </a:graphicData>
            </a:graphic>
          </wp:inline>
        </w:drawing>
      </w:r>
    </w:p>
    <w:p w14:paraId="7F3A5172" w14:textId="77777777" w:rsidR="001F7C1D" w:rsidRDefault="001F7C1D" w:rsidP="00040748">
      <w:pPr>
        <w:widowControl w:val="0"/>
        <w:autoSpaceDE w:val="0"/>
        <w:autoSpaceDN w:val="0"/>
        <w:adjustRightInd w:val="0"/>
        <w:jc w:val="both"/>
        <w:rPr>
          <w:rFonts w:ascii="Verdana" w:hAnsi="Verdana" w:cs="Verdana"/>
          <w:color w:val="1A1A1A"/>
          <w:sz w:val="30"/>
          <w:szCs w:val="30"/>
          <w:lang w:eastAsia="ja-JP"/>
        </w:rPr>
      </w:pPr>
    </w:p>
    <w:p w14:paraId="7B538BE7" w14:textId="644BD4EC" w:rsidR="001F7C1D" w:rsidRDefault="001F7C1D"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034A8F8B" wp14:editId="6C0B38B7">
            <wp:extent cx="3595370" cy="2549078"/>
            <wp:effectExtent l="0" t="0" r="1143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95370" cy="2549078"/>
                    </a:xfrm>
                    <a:prstGeom prst="rect">
                      <a:avLst/>
                    </a:prstGeom>
                    <a:noFill/>
                    <a:ln>
                      <a:noFill/>
                    </a:ln>
                  </pic:spPr>
                </pic:pic>
              </a:graphicData>
            </a:graphic>
          </wp:inline>
        </w:drawing>
      </w:r>
    </w:p>
    <w:p w14:paraId="058BAAC3" w14:textId="221A376F" w:rsidR="001F7C1D" w:rsidRDefault="001F7C1D"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46DB852D" wp14:editId="13A05272">
            <wp:extent cx="3595370" cy="139355"/>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95370" cy="139355"/>
                    </a:xfrm>
                    <a:prstGeom prst="rect">
                      <a:avLst/>
                    </a:prstGeom>
                    <a:noFill/>
                    <a:ln>
                      <a:noFill/>
                    </a:ln>
                  </pic:spPr>
                </pic:pic>
              </a:graphicData>
            </a:graphic>
          </wp:inline>
        </w:drawing>
      </w:r>
    </w:p>
    <w:p w14:paraId="0887ADA5" w14:textId="185F0D7F" w:rsidR="001F7C1D" w:rsidRDefault="001F7C1D"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04548F8F" wp14:editId="1E1EBE19">
            <wp:extent cx="3595370" cy="2531322"/>
            <wp:effectExtent l="0" t="0" r="11430" b="889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95370" cy="2531322"/>
                    </a:xfrm>
                    <a:prstGeom prst="rect">
                      <a:avLst/>
                    </a:prstGeom>
                    <a:noFill/>
                    <a:ln>
                      <a:noFill/>
                    </a:ln>
                  </pic:spPr>
                </pic:pic>
              </a:graphicData>
            </a:graphic>
          </wp:inline>
        </w:drawing>
      </w:r>
    </w:p>
    <w:p w14:paraId="1C6F8500" w14:textId="48582831" w:rsidR="001F7C1D" w:rsidRDefault="001F7C1D"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3E85CB91" wp14:editId="32A7A1AA">
            <wp:extent cx="3595370" cy="2485154"/>
            <wp:effectExtent l="0" t="0" r="11430" b="4445"/>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95370" cy="2485154"/>
                    </a:xfrm>
                    <a:prstGeom prst="rect">
                      <a:avLst/>
                    </a:prstGeom>
                    <a:noFill/>
                    <a:ln>
                      <a:noFill/>
                    </a:ln>
                  </pic:spPr>
                </pic:pic>
              </a:graphicData>
            </a:graphic>
          </wp:inline>
        </w:drawing>
      </w:r>
    </w:p>
    <w:p w14:paraId="63F1D6E4" w14:textId="7A84491A" w:rsidR="001F7C1D" w:rsidRDefault="001F7C1D"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6813D59A" wp14:editId="74CB67C1">
            <wp:extent cx="3595370" cy="2544019"/>
            <wp:effectExtent l="0" t="0" r="1143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95370" cy="2544019"/>
                    </a:xfrm>
                    <a:prstGeom prst="rect">
                      <a:avLst/>
                    </a:prstGeom>
                    <a:noFill/>
                    <a:ln>
                      <a:noFill/>
                    </a:ln>
                  </pic:spPr>
                </pic:pic>
              </a:graphicData>
            </a:graphic>
          </wp:inline>
        </w:drawing>
      </w:r>
    </w:p>
    <w:p w14:paraId="3A583AEB" w14:textId="04D2F08E" w:rsidR="001F7C1D" w:rsidRDefault="001F7C1D"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7BED3973" wp14:editId="3FFE0863">
            <wp:extent cx="3595370" cy="2503063"/>
            <wp:effectExtent l="0" t="0" r="11430" b="12065"/>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95370" cy="2503063"/>
                    </a:xfrm>
                    <a:prstGeom prst="rect">
                      <a:avLst/>
                    </a:prstGeom>
                    <a:noFill/>
                    <a:ln>
                      <a:noFill/>
                    </a:ln>
                  </pic:spPr>
                </pic:pic>
              </a:graphicData>
            </a:graphic>
          </wp:inline>
        </w:drawing>
      </w:r>
    </w:p>
    <w:p w14:paraId="0F949DBA" w14:textId="381CF9B5" w:rsidR="001F7C1D" w:rsidRDefault="001F7C1D"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5E1A9607" wp14:editId="5FC8F313">
            <wp:extent cx="3595370" cy="2584445"/>
            <wp:effectExtent l="0" t="0" r="11430" b="6985"/>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95370" cy="2584445"/>
                    </a:xfrm>
                    <a:prstGeom prst="rect">
                      <a:avLst/>
                    </a:prstGeom>
                    <a:noFill/>
                    <a:ln>
                      <a:noFill/>
                    </a:ln>
                  </pic:spPr>
                </pic:pic>
              </a:graphicData>
            </a:graphic>
          </wp:inline>
        </w:drawing>
      </w:r>
    </w:p>
    <w:p w14:paraId="3B22049B" w14:textId="77777777" w:rsidR="001F7C1D" w:rsidRDefault="001F7C1D" w:rsidP="00040748">
      <w:pPr>
        <w:widowControl w:val="0"/>
        <w:autoSpaceDE w:val="0"/>
        <w:autoSpaceDN w:val="0"/>
        <w:adjustRightInd w:val="0"/>
        <w:jc w:val="both"/>
        <w:rPr>
          <w:rFonts w:ascii="Verdana" w:hAnsi="Verdana" w:cs="Verdana"/>
          <w:color w:val="1A1A1A"/>
          <w:sz w:val="30"/>
          <w:szCs w:val="30"/>
          <w:lang w:eastAsia="ja-JP"/>
        </w:rPr>
      </w:pPr>
    </w:p>
    <w:p w14:paraId="23178CF2" w14:textId="69F3711A" w:rsidR="001F7C1D" w:rsidRDefault="001F7C1D"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0E479757" wp14:editId="07C9CFA1">
            <wp:extent cx="3595370" cy="2294917"/>
            <wp:effectExtent l="0" t="0" r="1143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95370" cy="2294917"/>
                    </a:xfrm>
                    <a:prstGeom prst="rect">
                      <a:avLst/>
                    </a:prstGeom>
                    <a:noFill/>
                    <a:ln>
                      <a:noFill/>
                    </a:ln>
                  </pic:spPr>
                </pic:pic>
              </a:graphicData>
            </a:graphic>
          </wp:inline>
        </w:drawing>
      </w:r>
    </w:p>
    <w:p w14:paraId="642F07DD" w14:textId="77777777" w:rsidR="001F7C1D" w:rsidRDefault="001F7C1D" w:rsidP="00040748">
      <w:pPr>
        <w:widowControl w:val="0"/>
        <w:autoSpaceDE w:val="0"/>
        <w:autoSpaceDN w:val="0"/>
        <w:adjustRightInd w:val="0"/>
        <w:jc w:val="both"/>
        <w:rPr>
          <w:rFonts w:ascii="Verdana" w:hAnsi="Verdana" w:cs="Verdana"/>
          <w:color w:val="1A1A1A"/>
          <w:sz w:val="30"/>
          <w:szCs w:val="30"/>
          <w:lang w:eastAsia="ja-JP"/>
        </w:rPr>
      </w:pPr>
    </w:p>
    <w:p w14:paraId="65D9211C" w14:textId="55B66F4B" w:rsidR="001F7C1D" w:rsidRDefault="001F7C1D"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2B8F59F6" wp14:editId="1ECEBEEB">
            <wp:extent cx="3595370" cy="1374263"/>
            <wp:effectExtent l="0" t="0" r="1143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95370" cy="1374263"/>
                    </a:xfrm>
                    <a:prstGeom prst="rect">
                      <a:avLst/>
                    </a:prstGeom>
                    <a:noFill/>
                    <a:ln>
                      <a:noFill/>
                    </a:ln>
                  </pic:spPr>
                </pic:pic>
              </a:graphicData>
            </a:graphic>
          </wp:inline>
        </w:drawing>
      </w:r>
    </w:p>
    <w:p w14:paraId="7C7EFABC" w14:textId="77777777" w:rsidR="001F7C1D" w:rsidRDefault="001F7C1D" w:rsidP="00040748">
      <w:pPr>
        <w:widowControl w:val="0"/>
        <w:autoSpaceDE w:val="0"/>
        <w:autoSpaceDN w:val="0"/>
        <w:adjustRightInd w:val="0"/>
        <w:jc w:val="both"/>
        <w:rPr>
          <w:rFonts w:ascii="Verdana" w:hAnsi="Verdana" w:cs="Verdana"/>
          <w:color w:val="1A1A1A"/>
          <w:sz w:val="30"/>
          <w:szCs w:val="30"/>
          <w:lang w:eastAsia="ja-JP"/>
        </w:rPr>
      </w:pPr>
    </w:p>
    <w:p w14:paraId="2E65F56F" w14:textId="067289FE" w:rsidR="001F7C1D" w:rsidRDefault="0090089A"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2F0E95F2" wp14:editId="77F50960">
            <wp:extent cx="3595370" cy="1897171"/>
            <wp:effectExtent l="0" t="0" r="11430" b="8255"/>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95370" cy="1897171"/>
                    </a:xfrm>
                    <a:prstGeom prst="rect">
                      <a:avLst/>
                    </a:prstGeom>
                    <a:noFill/>
                    <a:ln>
                      <a:noFill/>
                    </a:ln>
                  </pic:spPr>
                </pic:pic>
              </a:graphicData>
            </a:graphic>
          </wp:inline>
        </w:drawing>
      </w:r>
    </w:p>
    <w:p w14:paraId="0E759D24" w14:textId="3EC68371" w:rsidR="0090089A" w:rsidRDefault="0090089A"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6D140F6E" wp14:editId="69F2FB12">
            <wp:extent cx="3595370" cy="2046013"/>
            <wp:effectExtent l="0" t="0" r="11430" b="1143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95370" cy="2046013"/>
                    </a:xfrm>
                    <a:prstGeom prst="rect">
                      <a:avLst/>
                    </a:prstGeom>
                    <a:noFill/>
                    <a:ln>
                      <a:noFill/>
                    </a:ln>
                  </pic:spPr>
                </pic:pic>
              </a:graphicData>
            </a:graphic>
          </wp:inline>
        </w:drawing>
      </w:r>
    </w:p>
    <w:p w14:paraId="2996C9FE" w14:textId="4E89EEF9" w:rsidR="0090089A" w:rsidRDefault="0090089A"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3258806F" wp14:editId="57C9149B">
            <wp:extent cx="3595370" cy="2458541"/>
            <wp:effectExtent l="0" t="0" r="11430" b="5715"/>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95370" cy="2458541"/>
                    </a:xfrm>
                    <a:prstGeom prst="rect">
                      <a:avLst/>
                    </a:prstGeom>
                    <a:noFill/>
                    <a:ln>
                      <a:noFill/>
                    </a:ln>
                  </pic:spPr>
                </pic:pic>
              </a:graphicData>
            </a:graphic>
          </wp:inline>
        </w:drawing>
      </w:r>
    </w:p>
    <w:p w14:paraId="5828630C" w14:textId="5F8CAF60" w:rsidR="0090089A" w:rsidRDefault="0090089A"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028C2004" wp14:editId="53B0B223">
            <wp:extent cx="3595370" cy="2551596"/>
            <wp:effectExtent l="0" t="0" r="11430"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95370" cy="2551596"/>
                    </a:xfrm>
                    <a:prstGeom prst="rect">
                      <a:avLst/>
                    </a:prstGeom>
                    <a:noFill/>
                    <a:ln>
                      <a:noFill/>
                    </a:ln>
                  </pic:spPr>
                </pic:pic>
              </a:graphicData>
            </a:graphic>
          </wp:inline>
        </w:drawing>
      </w:r>
    </w:p>
    <w:p w14:paraId="3CAEDB5B" w14:textId="580A06AA" w:rsidR="0090089A" w:rsidRDefault="00905496"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4FDC78B3" wp14:editId="04F7E318">
            <wp:extent cx="3595370" cy="2572852"/>
            <wp:effectExtent l="0" t="0" r="11430"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95370" cy="2572852"/>
                    </a:xfrm>
                    <a:prstGeom prst="rect">
                      <a:avLst/>
                    </a:prstGeom>
                    <a:noFill/>
                    <a:ln>
                      <a:noFill/>
                    </a:ln>
                  </pic:spPr>
                </pic:pic>
              </a:graphicData>
            </a:graphic>
          </wp:inline>
        </w:drawing>
      </w:r>
    </w:p>
    <w:p w14:paraId="34CFCC43" w14:textId="63BA0C3F" w:rsidR="00905496" w:rsidRDefault="00905496"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6B60E1EB" wp14:editId="538004BA">
            <wp:extent cx="3595370" cy="2462768"/>
            <wp:effectExtent l="0" t="0" r="11430" b="127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95370" cy="2462768"/>
                    </a:xfrm>
                    <a:prstGeom prst="rect">
                      <a:avLst/>
                    </a:prstGeom>
                    <a:noFill/>
                    <a:ln>
                      <a:noFill/>
                    </a:ln>
                  </pic:spPr>
                </pic:pic>
              </a:graphicData>
            </a:graphic>
          </wp:inline>
        </w:drawing>
      </w:r>
    </w:p>
    <w:p w14:paraId="71423D24" w14:textId="21FBD58C" w:rsidR="00905496" w:rsidRDefault="00905496" w:rsidP="00040748">
      <w:pPr>
        <w:widowControl w:val="0"/>
        <w:pBdr>
          <w:bottom w:val="single" w:sz="6" w:space="1" w:color="auto"/>
        </w:pBdr>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61314BE9" wp14:editId="613A9BFC">
            <wp:extent cx="3595370" cy="1978011"/>
            <wp:effectExtent l="0" t="0" r="11430" b="381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95370" cy="1978011"/>
                    </a:xfrm>
                    <a:prstGeom prst="rect">
                      <a:avLst/>
                    </a:prstGeom>
                    <a:noFill/>
                    <a:ln>
                      <a:noFill/>
                    </a:ln>
                  </pic:spPr>
                </pic:pic>
              </a:graphicData>
            </a:graphic>
          </wp:inline>
        </w:drawing>
      </w:r>
    </w:p>
    <w:p w14:paraId="392FDFF5" w14:textId="77777777" w:rsidR="007F1636" w:rsidRDefault="007F1636" w:rsidP="00040748">
      <w:pPr>
        <w:widowControl w:val="0"/>
        <w:autoSpaceDE w:val="0"/>
        <w:autoSpaceDN w:val="0"/>
        <w:adjustRightInd w:val="0"/>
        <w:jc w:val="both"/>
        <w:rPr>
          <w:rFonts w:ascii="Verdana" w:hAnsi="Verdana" w:cs="Verdana"/>
          <w:color w:val="1A1A1A"/>
          <w:sz w:val="30"/>
          <w:szCs w:val="30"/>
          <w:lang w:eastAsia="ja-JP"/>
        </w:rPr>
      </w:pPr>
    </w:p>
    <w:p w14:paraId="3A865806" w14:textId="77777777" w:rsidR="002579C8" w:rsidRDefault="002579C8">
      <w:pPr>
        <w:rPr>
          <w:rFonts w:ascii="Verdana" w:hAnsi="Verdana" w:cs="Verdana"/>
          <w:b/>
          <w:sz w:val="48"/>
          <w:szCs w:val="48"/>
          <w:lang w:eastAsia="ja-JP"/>
        </w:rPr>
      </w:pPr>
      <w:r>
        <w:rPr>
          <w:rFonts w:ascii="Verdana" w:hAnsi="Verdana" w:cs="Verdana"/>
          <w:b/>
          <w:sz w:val="48"/>
          <w:szCs w:val="48"/>
          <w:lang w:eastAsia="ja-JP"/>
        </w:rPr>
        <w:br w:type="page"/>
      </w:r>
    </w:p>
    <w:p w14:paraId="459BD7A1" w14:textId="10738372" w:rsidR="002579C8" w:rsidRDefault="007F1636" w:rsidP="00040748">
      <w:pPr>
        <w:widowControl w:val="0"/>
        <w:autoSpaceDE w:val="0"/>
        <w:autoSpaceDN w:val="0"/>
        <w:adjustRightInd w:val="0"/>
        <w:jc w:val="both"/>
        <w:rPr>
          <w:rFonts w:ascii="Verdana" w:hAnsi="Verdana" w:cs="Verdana"/>
          <w:b/>
          <w:sz w:val="48"/>
          <w:szCs w:val="48"/>
          <w:lang w:eastAsia="ja-JP"/>
        </w:rPr>
      </w:pPr>
      <w:r w:rsidRPr="002579C8">
        <w:rPr>
          <w:rFonts w:ascii="Verdana" w:hAnsi="Verdana" w:cs="Verdana"/>
          <w:b/>
          <w:sz w:val="48"/>
          <w:szCs w:val="48"/>
          <w:lang w:eastAsia="ja-JP"/>
        </w:rPr>
        <w:t xml:space="preserve">Rapport Eramet 2017, </w:t>
      </w:r>
    </w:p>
    <w:p w14:paraId="7609DFAC" w14:textId="06AC061F" w:rsidR="007F1636" w:rsidRPr="002579C8" w:rsidRDefault="007F1636" w:rsidP="00040748">
      <w:pPr>
        <w:widowControl w:val="0"/>
        <w:autoSpaceDE w:val="0"/>
        <w:autoSpaceDN w:val="0"/>
        <w:adjustRightInd w:val="0"/>
        <w:jc w:val="both"/>
        <w:rPr>
          <w:rFonts w:ascii="Verdana" w:hAnsi="Verdana" w:cs="Verdana"/>
          <w:b/>
          <w:sz w:val="48"/>
          <w:szCs w:val="48"/>
          <w:lang w:eastAsia="ja-JP"/>
        </w:rPr>
      </w:pPr>
      <w:r w:rsidRPr="002579C8">
        <w:rPr>
          <w:rFonts w:ascii="Verdana" w:hAnsi="Verdana" w:cs="Verdana"/>
          <w:b/>
          <w:sz w:val="48"/>
          <w:szCs w:val="48"/>
          <w:lang w:eastAsia="ja-JP"/>
        </w:rPr>
        <w:t>quelques extraits</w:t>
      </w:r>
    </w:p>
    <w:p w14:paraId="01B343A3" w14:textId="77777777" w:rsidR="007F1636" w:rsidRDefault="007F1636" w:rsidP="00040748">
      <w:pPr>
        <w:widowControl w:val="0"/>
        <w:autoSpaceDE w:val="0"/>
        <w:autoSpaceDN w:val="0"/>
        <w:adjustRightInd w:val="0"/>
        <w:jc w:val="both"/>
        <w:rPr>
          <w:rFonts w:ascii="Verdana" w:hAnsi="Verdana" w:cs="Verdana"/>
          <w:color w:val="1A1A1A"/>
          <w:sz w:val="30"/>
          <w:szCs w:val="30"/>
          <w:lang w:eastAsia="ja-JP"/>
        </w:rPr>
      </w:pPr>
    </w:p>
    <w:p w14:paraId="55367DE9" w14:textId="164578A9" w:rsidR="007F1636" w:rsidRDefault="007F1636"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15D35330" wp14:editId="7204E6AC">
            <wp:extent cx="3595370" cy="4759524"/>
            <wp:effectExtent l="0" t="0" r="1143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95370" cy="4759524"/>
                    </a:xfrm>
                    <a:prstGeom prst="rect">
                      <a:avLst/>
                    </a:prstGeom>
                    <a:noFill/>
                    <a:ln>
                      <a:noFill/>
                    </a:ln>
                  </pic:spPr>
                </pic:pic>
              </a:graphicData>
            </a:graphic>
          </wp:inline>
        </w:drawing>
      </w:r>
    </w:p>
    <w:p w14:paraId="41124507" w14:textId="77777777" w:rsidR="007F1636" w:rsidRDefault="007F1636" w:rsidP="00040748">
      <w:pPr>
        <w:widowControl w:val="0"/>
        <w:autoSpaceDE w:val="0"/>
        <w:autoSpaceDN w:val="0"/>
        <w:adjustRightInd w:val="0"/>
        <w:jc w:val="both"/>
        <w:rPr>
          <w:rFonts w:ascii="Verdana" w:hAnsi="Verdana" w:cs="Verdana"/>
          <w:color w:val="1A1A1A"/>
          <w:sz w:val="30"/>
          <w:szCs w:val="30"/>
          <w:lang w:eastAsia="ja-JP"/>
        </w:rPr>
      </w:pPr>
    </w:p>
    <w:p w14:paraId="0D9847A8" w14:textId="4EBBFB16" w:rsidR="007F1636" w:rsidRDefault="007F1636" w:rsidP="00040748">
      <w:pPr>
        <w:widowControl w:val="0"/>
        <w:autoSpaceDE w:val="0"/>
        <w:autoSpaceDN w:val="0"/>
        <w:adjustRightInd w:val="0"/>
        <w:jc w:val="both"/>
        <w:rPr>
          <w:rFonts w:ascii="Verdana" w:hAnsi="Verdana" w:cs="Verdana"/>
          <w:color w:val="1A1A1A"/>
          <w:sz w:val="30"/>
          <w:szCs w:val="30"/>
          <w:lang w:eastAsia="ja-JP"/>
        </w:rPr>
      </w:pPr>
      <w:bookmarkStart w:id="0" w:name="_GoBack"/>
      <w:r>
        <w:rPr>
          <w:rFonts w:ascii="Verdana" w:hAnsi="Verdana" w:cs="Verdana"/>
          <w:noProof/>
          <w:color w:val="1A1A1A"/>
          <w:sz w:val="30"/>
          <w:szCs w:val="30"/>
        </w:rPr>
        <w:drawing>
          <wp:inline distT="0" distB="0" distL="0" distR="0" wp14:anchorId="1F777F05" wp14:editId="46B118C1">
            <wp:extent cx="3595370" cy="4372259"/>
            <wp:effectExtent l="0" t="0" r="11430" b="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95370" cy="4372259"/>
                    </a:xfrm>
                    <a:prstGeom prst="rect">
                      <a:avLst/>
                    </a:prstGeom>
                    <a:noFill/>
                    <a:ln>
                      <a:noFill/>
                    </a:ln>
                  </pic:spPr>
                </pic:pic>
              </a:graphicData>
            </a:graphic>
          </wp:inline>
        </w:drawing>
      </w:r>
      <w:bookmarkEnd w:id="0"/>
    </w:p>
    <w:p w14:paraId="130F915D" w14:textId="324CCEA4" w:rsidR="007F1636" w:rsidRDefault="00E03280"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046EFD15" wp14:editId="390F8036">
            <wp:extent cx="3595370" cy="4389553"/>
            <wp:effectExtent l="0" t="0" r="11430" b="508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95370" cy="4389553"/>
                    </a:xfrm>
                    <a:prstGeom prst="rect">
                      <a:avLst/>
                    </a:prstGeom>
                    <a:noFill/>
                    <a:ln>
                      <a:noFill/>
                    </a:ln>
                  </pic:spPr>
                </pic:pic>
              </a:graphicData>
            </a:graphic>
          </wp:inline>
        </w:drawing>
      </w:r>
    </w:p>
    <w:p w14:paraId="22B66DC9" w14:textId="50BB0118" w:rsidR="00E03280" w:rsidRDefault="00E03280"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7B43C922" wp14:editId="48441346">
            <wp:extent cx="3595370" cy="4387465"/>
            <wp:effectExtent l="0" t="0" r="11430" b="6985"/>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95370" cy="4387465"/>
                    </a:xfrm>
                    <a:prstGeom prst="rect">
                      <a:avLst/>
                    </a:prstGeom>
                    <a:noFill/>
                    <a:ln>
                      <a:noFill/>
                    </a:ln>
                  </pic:spPr>
                </pic:pic>
              </a:graphicData>
            </a:graphic>
          </wp:inline>
        </w:drawing>
      </w:r>
    </w:p>
    <w:p w14:paraId="76A4405D" w14:textId="336BDBE8" w:rsidR="00E03280" w:rsidRDefault="00E03280"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0ABD4A26" wp14:editId="5EC92220">
            <wp:extent cx="3595370" cy="4524227"/>
            <wp:effectExtent l="0" t="0" r="11430" b="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95370" cy="4524227"/>
                    </a:xfrm>
                    <a:prstGeom prst="rect">
                      <a:avLst/>
                    </a:prstGeom>
                    <a:noFill/>
                    <a:ln>
                      <a:noFill/>
                    </a:ln>
                  </pic:spPr>
                </pic:pic>
              </a:graphicData>
            </a:graphic>
          </wp:inline>
        </w:drawing>
      </w:r>
    </w:p>
    <w:p w14:paraId="652F132B" w14:textId="7ED07855" w:rsidR="00E03280" w:rsidRDefault="00E03280" w:rsidP="00040748">
      <w:pPr>
        <w:widowControl w:val="0"/>
        <w:autoSpaceDE w:val="0"/>
        <w:autoSpaceDN w:val="0"/>
        <w:adjustRightInd w:val="0"/>
        <w:jc w:val="both"/>
        <w:rPr>
          <w:rFonts w:ascii="Verdana" w:hAnsi="Verdana" w:cs="Verdana"/>
          <w:color w:val="1A1A1A"/>
          <w:sz w:val="30"/>
          <w:szCs w:val="30"/>
          <w:lang w:eastAsia="ja-JP"/>
        </w:rPr>
      </w:pPr>
      <w:r>
        <w:rPr>
          <w:rFonts w:ascii="Verdana" w:hAnsi="Verdana" w:cs="Verdana"/>
          <w:noProof/>
          <w:color w:val="1A1A1A"/>
          <w:sz w:val="30"/>
          <w:szCs w:val="30"/>
        </w:rPr>
        <w:drawing>
          <wp:inline distT="0" distB="0" distL="0" distR="0" wp14:anchorId="461901E5" wp14:editId="24714C2F">
            <wp:extent cx="3595370" cy="4382866"/>
            <wp:effectExtent l="0" t="0" r="11430" b="11430"/>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95370" cy="4382866"/>
                    </a:xfrm>
                    <a:prstGeom prst="rect">
                      <a:avLst/>
                    </a:prstGeom>
                    <a:noFill/>
                    <a:ln>
                      <a:noFill/>
                    </a:ln>
                  </pic:spPr>
                </pic:pic>
              </a:graphicData>
            </a:graphic>
          </wp:inline>
        </w:drawing>
      </w:r>
    </w:p>
    <w:p w14:paraId="29846438" w14:textId="77777777" w:rsidR="00E03280" w:rsidRDefault="00E03280" w:rsidP="00040748">
      <w:pPr>
        <w:widowControl w:val="0"/>
        <w:autoSpaceDE w:val="0"/>
        <w:autoSpaceDN w:val="0"/>
        <w:adjustRightInd w:val="0"/>
        <w:jc w:val="both"/>
        <w:rPr>
          <w:rFonts w:ascii="Verdana" w:hAnsi="Verdana" w:cs="Verdana"/>
          <w:color w:val="1A1A1A"/>
          <w:sz w:val="30"/>
          <w:szCs w:val="30"/>
          <w:lang w:eastAsia="ja-JP"/>
        </w:rPr>
      </w:pPr>
    </w:p>
    <w:p w14:paraId="22DBF731" w14:textId="77777777" w:rsidR="00905496" w:rsidRDefault="00905496" w:rsidP="00040748">
      <w:pPr>
        <w:widowControl w:val="0"/>
        <w:autoSpaceDE w:val="0"/>
        <w:autoSpaceDN w:val="0"/>
        <w:adjustRightInd w:val="0"/>
        <w:jc w:val="both"/>
        <w:rPr>
          <w:rFonts w:ascii="Verdana" w:hAnsi="Verdana" w:cs="Verdana"/>
          <w:color w:val="1A1A1A"/>
          <w:sz w:val="30"/>
          <w:szCs w:val="30"/>
          <w:lang w:eastAsia="ja-JP"/>
        </w:rPr>
      </w:pPr>
    </w:p>
    <w:p w14:paraId="18CFD0B2" w14:textId="77777777" w:rsidR="0090089A" w:rsidRDefault="0090089A" w:rsidP="00040748">
      <w:pPr>
        <w:widowControl w:val="0"/>
        <w:autoSpaceDE w:val="0"/>
        <w:autoSpaceDN w:val="0"/>
        <w:adjustRightInd w:val="0"/>
        <w:jc w:val="both"/>
        <w:rPr>
          <w:rFonts w:ascii="Verdana" w:hAnsi="Verdana" w:cs="Verdana"/>
          <w:color w:val="1A1A1A"/>
          <w:sz w:val="30"/>
          <w:szCs w:val="30"/>
          <w:lang w:eastAsia="ja-JP"/>
        </w:rPr>
      </w:pPr>
    </w:p>
    <w:p w14:paraId="581D3854" w14:textId="77777777" w:rsidR="001F7C1D" w:rsidRDefault="001F7C1D" w:rsidP="00040748">
      <w:pPr>
        <w:widowControl w:val="0"/>
        <w:autoSpaceDE w:val="0"/>
        <w:autoSpaceDN w:val="0"/>
        <w:adjustRightInd w:val="0"/>
        <w:jc w:val="both"/>
        <w:rPr>
          <w:rFonts w:ascii="Verdana" w:hAnsi="Verdana" w:cs="Verdana"/>
          <w:color w:val="1A1A1A"/>
          <w:sz w:val="30"/>
          <w:szCs w:val="30"/>
          <w:lang w:eastAsia="ja-JP"/>
        </w:rPr>
      </w:pPr>
    </w:p>
    <w:p w14:paraId="3EA2624D" w14:textId="77777777" w:rsidR="00283B6B" w:rsidRDefault="00283B6B" w:rsidP="00040748">
      <w:pPr>
        <w:widowControl w:val="0"/>
        <w:autoSpaceDE w:val="0"/>
        <w:autoSpaceDN w:val="0"/>
        <w:adjustRightInd w:val="0"/>
        <w:jc w:val="both"/>
        <w:rPr>
          <w:rFonts w:ascii="Verdana" w:hAnsi="Verdana" w:cs="Verdana"/>
          <w:color w:val="1A1A1A"/>
          <w:sz w:val="30"/>
          <w:szCs w:val="30"/>
          <w:lang w:eastAsia="ja-JP"/>
        </w:rPr>
      </w:pPr>
    </w:p>
    <w:p w14:paraId="76A1E90E" w14:textId="77777777" w:rsidR="00283B6B" w:rsidRDefault="00283B6B" w:rsidP="00040748">
      <w:pPr>
        <w:widowControl w:val="0"/>
        <w:autoSpaceDE w:val="0"/>
        <w:autoSpaceDN w:val="0"/>
        <w:adjustRightInd w:val="0"/>
        <w:jc w:val="both"/>
        <w:rPr>
          <w:rFonts w:ascii="Verdana" w:hAnsi="Verdana" w:cs="Verdana"/>
          <w:color w:val="1A1A1A"/>
          <w:sz w:val="30"/>
          <w:szCs w:val="30"/>
          <w:lang w:eastAsia="ja-JP"/>
        </w:rPr>
      </w:pPr>
    </w:p>
    <w:p w14:paraId="3C76AA0F" w14:textId="77777777" w:rsidR="00283B6B" w:rsidRDefault="00283B6B" w:rsidP="00040748">
      <w:pPr>
        <w:widowControl w:val="0"/>
        <w:autoSpaceDE w:val="0"/>
        <w:autoSpaceDN w:val="0"/>
        <w:adjustRightInd w:val="0"/>
        <w:jc w:val="both"/>
        <w:rPr>
          <w:rFonts w:ascii="Verdana" w:hAnsi="Verdana" w:cs="Verdana"/>
          <w:color w:val="1A1A1A"/>
          <w:sz w:val="30"/>
          <w:szCs w:val="30"/>
          <w:lang w:eastAsia="ja-JP"/>
        </w:rPr>
      </w:pPr>
    </w:p>
    <w:p w14:paraId="2F66D18D" w14:textId="77777777" w:rsidR="00561417" w:rsidRPr="001F1CE6" w:rsidRDefault="00561417" w:rsidP="00040748">
      <w:pPr>
        <w:widowControl w:val="0"/>
        <w:autoSpaceDE w:val="0"/>
        <w:autoSpaceDN w:val="0"/>
        <w:adjustRightInd w:val="0"/>
        <w:jc w:val="both"/>
        <w:rPr>
          <w:rFonts w:ascii="Verdana" w:hAnsi="Verdana" w:cs="Verdana"/>
          <w:color w:val="1A1A1A"/>
          <w:sz w:val="30"/>
          <w:szCs w:val="30"/>
          <w:lang w:eastAsia="ja-JP"/>
        </w:rPr>
      </w:pPr>
    </w:p>
    <w:sectPr w:rsidR="00561417" w:rsidRPr="001F1CE6" w:rsidSect="002579C8">
      <w:type w:val="continuous"/>
      <w:pgSz w:w="11900" w:h="16840"/>
      <w:pgMar w:top="851" w:right="851" w:bottom="851" w:left="851" w:header="0" w:footer="437"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altName w:val="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Verdana">
    <w:panose1 w:val="020B0604030504040204"/>
    <w:charset w:val="00"/>
    <w:family w:val="auto"/>
    <w:pitch w:val="variable"/>
    <w:sig w:usb0="A10006FF" w:usb1="4000205B" w:usb2="00000010" w:usb3="00000000" w:csb0="000001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98"/>
  <w:embedSystemFonts/>
  <w:defaultTabStop w:val="708"/>
  <w:hyphenationZone w:val="425"/>
  <w:displayHorizontalDrawingGridEvery w:val="0"/>
  <w:displayVerticalDrawingGridEvery w:val="0"/>
  <w:doNotUseMarginsForDrawingGridOrigin/>
  <w:noPunctuationKerning/>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1CE6"/>
    <w:rsid w:val="00040748"/>
    <w:rsid w:val="001F1CE6"/>
    <w:rsid w:val="001F4769"/>
    <w:rsid w:val="001F7C1D"/>
    <w:rsid w:val="002579C8"/>
    <w:rsid w:val="00283B6B"/>
    <w:rsid w:val="004C7B25"/>
    <w:rsid w:val="00561417"/>
    <w:rsid w:val="007F1636"/>
    <w:rsid w:val="0087407C"/>
    <w:rsid w:val="0090089A"/>
    <w:rsid w:val="00905496"/>
    <w:rsid w:val="00941407"/>
    <w:rsid w:val="009F6C29"/>
    <w:rsid w:val="00C930E1"/>
    <w:rsid w:val="00E03280"/>
    <w:rsid w:val="00F23509"/>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doNotEmbedSmartTags/>
  <w:decimalSymbol w:val=","/>
  <w:listSeparator w:val=";"/>
  <w14:docId w14:val="6CFC67B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fr-FR"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1F1CE6"/>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1F1CE6"/>
    <w:rPr>
      <w:rFonts w:ascii="Lucida Grande" w:hAnsi="Lucida Grande" w:cs="Lucida Grande"/>
      <w:sz w:val="18"/>
      <w:szCs w:val="18"/>
      <w:lang w:eastAsia="fr-FR"/>
    </w:rPr>
  </w:style>
  <w:style w:type="paragraph" w:customStyle="1" w:styleId="Default">
    <w:name w:val="Default"/>
    <w:rsid w:val="001F4769"/>
    <w:pPr>
      <w:widowControl w:val="0"/>
      <w:autoSpaceDE w:val="0"/>
      <w:autoSpaceDN w:val="0"/>
      <w:adjustRightInd w:val="0"/>
    </w:pPr>
    <w:rPr>
      <w:rFonts w:ascii="Arial" w:hAnsi="Arial" w:cs="Arial"/>
      <w:color w:val="000000"/>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fr-FR"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1F1CE6"/>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1F1CE6"/>
    <w:rPr>
      <w:rFonts w:ascii="Lucida Grande" w:hAnsi="Lucida Grande" w:cs="Lucida Grande"/>
      <w:sz w:val="18"/>
      <w:szCs w:val="18"/>
      <w:lang w:eastAsia="fr-FR"/>
    </w:rPr>
  </w:style>
  <w:style w:type="paragraph" w:customStyle="1" w:styleId="Default">
    <w:name w:val="Default"/>
    <w:rsid w:val="001F4769"/>
    <w:pPr>
      <w:widowControl w:val="0"/>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50" Type="http://schemas.openxmlformats.org/officeDocument/2006/relationships/image" Target="media/image41.png"/><Relationship Id="rId51" Type="http://schemas.openxmlformats.org/officeDocument/2006/relationships/image" Target="media/image42.png"/><Relationship Id="rId52" Type="http://schemas.openxmlformats.org/officeDocument/2006/relationships/image" Target="media/image43.png"/><Relationship Id="rId53" Type="http://schemas.openxmlformats.org/officeDocument/2006/relationships/image" Target="media/image44.png"/><Relationship Id="rId54" Type="http://schemas.openxmlformats.org/officeDocument/2006/relationships/fontTable" Target="fontTable.xml"/><Relationship Id="rId55" Type="http://schemas.openxmlformats.org/officeDocument/2006/relationships/theme" Target="theme/theme1.xml"/><Relationship Id="rId40" Type="http://schemas.openxmlformats.org/officeDocument/2006/relationships/image" Target="media/image31.png"/><Relationship Id="rId41" Type="http://schemas.openxmlformats.org/officeDocument/2006/relationships/image" Target="media/image32.png"/><Relationship Id="rId42" Type="http://schemas.openxmlformats.org/officeDocument/2006/relationships/image" Target="media/image33.png"/><Relationship Id="rId43" Type="http://schemas.openxmlformats.org/officeDocument/2006/relationships/image" Target="media/image34.png"/><Relationship Id="rId44" Type="http://schemas.openxmlformats.org/officeDocument/2006/relationships/image" Target="media/image35.png"/><Relationship Id="rId45" Type="http://schemas.openxmlformats.org/officeDocument/2006/relationships/image" Target="media/image36.png"/><Relationship Id="rId46" Type="http://schemas.openxmlformats.org/officeDocument/2006/relationships/image" Target="media/image37.png"/><Relationship Id="rId47" Type="http://schemas.openxmlformats.org/officeDocument/2006/relationships/image" Target="media/image38.png"/><Relationship Id="rId48" Type="http://schemas.openxmlformats.org/officeDocument/2006/relationships/image" Target="media/image39.png"/><Relationship Id="rId49" Type="http://schemas.openxmlformats.org/officeDocument/2006/relationships/image" Target="media/image40.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http://www.facebook.com/sharer.php?u=http://caledonie-ensemble.com/2018/07/25/conseil-dadministration-deramet-ce-matin-auquel-jai-participe-avec-louis-mapou-nouvel-administrateur-de-la-stcpi/" TargetMode="External"/><Relationship Id="rId7" Type="http://schemas.openxmlformats.org/officeDocument/2006/relationships/hyperlink" Target="http://twitter.com/share?url=http://caledonie-ensemble.com/2018/07/25/conseil-dadministration-deramet-ce-matin-auquel-jai-participe-avec-louis-mapou-nouvel-administrateur-de-la-stcpi/&amp;text=Conseil%20d%E2%80%99Administration%20d%E2%80%99Eramet%20ce%20matin%20auquel%20j%E2%80%99ai%20particip%C3%A9%20avec%20Louis%20Mapou%20nouvel%20administrateur%20de%20la%20STCPI" TargetMode="External"/><Relationship Id="rId8" Type="http://schemas.openxmlformats.org/officeDocument/2006/relationships/hyperlink" Target="https://plus.google.com/share?url=http://caledonie-ensemble.com/2018/07/25/conseil-dadministration-deramet-ce-matin-auquel-jai-participe-avec-louis-mapou-nouvel-administrateur-de-la-stcpi/" TargetMode="External"/><Relationship Id="rId9" Type="http://schemas.openxmlformats.org/officeDocument/2006/relationships/hyperlink" Target="https://www.facebook.com/philippegomesnc/" TargetMode="External"/><Relationship Id="rId30" Type="http://schemas.openxmlformats.org/officeDocument/2006/relationships/image" Target="media/image21.png"/><Relationship Id="rId31" Type="http://schemas.openxmlformats.org/officeDocument/2006/relationships/image" Target="media/image22.png"/><Relationship Id="rId32" Type="http://schemas.openxmlformats.org/officeDocument/2006/relationships/image" Target="media/image23.png"/><Relationship Id="rId33" Type="http://schemas.openxmlformats.org/officeDocument/2006/relationships/image" Target="media/image24.png"/><Relationship Id="rId34" Type="http://schemas.openxmlformats.org/officeDocument/2006/relationships/image" Target="media/image25.png"/><Relationship Id="rId35" Type="http://schemas.openxmlformats.org/officeDocument/2006/relationships/image" Target="media/image26.png"/><Relationship Id="rId36" Type="http://schemas.openxmlformats.org/officeDocument/2006/relationships/image" Target="media/image27.png"/><Relationship Id="rId37" Type="http://schemas.openxmlformats.org/officeDocument/2006/relationships/image" Target="media/image28.png"/><Relationship Id="rId38" Type="http://schemas.openxmlformats.org/officeDocument/2006/relationships/image" Target="media/image29.png"/><Relationship Id="rId39" Type="http://schemas.openxmlformats.org/officeDocument/2006/relationships/image" Target="media/image30.png"/><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image" Target="media/image16.png"/><Relationship Id="rId26" Type="http://schemas.openxmlformats.org/officeDocument/2006/relationships/image" Target="media/image17.png"/><Relationship Id="rId27" Type="http://schemas.openxmlformats.org/officeDocument/2006/relationships/image" Target="media/image18.png"/><Relationship Id="rId28" Type="http://schemas.openxmlformats.org/officeDocument/2006/relationships/image" Target="media/image19.png"/><Relationship Id="rId29" Type="http://schemas.openxmlformats.org/officeDocument/2006/relationships/image" Target="media/image20.png"/><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image" Target="media/image3.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22</Pages>
  <Words>2612</Words>
  <Characters>14368</Characters>
  <Application>Microsoft Macintosh Word</Application>
  <DocSecurity>0</DocSecurity>
  <Lines>119</Lines>
  <Paragraphs>33</Paragraphs>
  <ScaleCrop>false</ScaleCrop>
  <Company>Syndex</Company>
  <LinksUpToDate>false</LinksUpToDate>
  <CharactersWithSpaces>16947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Patrick Castex</dc:creator>
  <cp:keywords/>
  <dc:description/>
  <cp:lastModifiedBy>Patrick Castex</cp:lastModifiedBy>
  <cp:revision>2</cp:revision>
  <dcterms:created xsi:type="dcterms:W3CDTF">2018-07-29T09:32:00Z</dcterms:created>
  <dcterms:modified xsi:type="dcterms:W3CDTF">2018-07-29T09:32:00Z</dcterms:modified>
</cp:coreProperties>
</file>